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90"/>
          <w:tab w:val="center" w:pos="4394"/>
        </w:tabs>
        <w:ind w:firstLine="0" w:firstLineChars="0"/>
        <w:jc w:val="center"/>
        <w:rPr>
          <w:rFonts w:hint="eastAsia" w:ascii="宋体" w:hAnsi="宋体" w:eastAsia="宋体" w:cs="华文中宋"/>
          <w:b/>
          <w:bCs/>
          <w:color w:val="auto"/>
          <w:sz w:val="48"/>
          <w:szCs w:val="48"/>
          <w:highlight w:val="none"/>
          <w:lang w:val="en-US" w:eastAsia="zh-CN"/>
        </w:rPr>
      </w:pPr>
      <w:r>
        <w:rPr>
          <w:rFonts w:hint="eastAsia" w:ascii="宋体" w:hAnsi="宋体" w:eastAsia="宋体" w:cs="华文中宋"/>
          <w:b/>
          <w:bCs/>
          <w:color w:val="auto"/>
          <w:sz w:val="48"/>
          <w:szCs w:val="48"/>
          <w:highlight w:val="none"/>
        </w:rPr>
        <w:t>天津市</w:t>
      </w:r>
      <w:r>
        <w:rPr>
          <w:rFonts w:hint="eastAsia" w:ascii="宋体" w:hAnsi="宋体" w:eastAsia="宋体" w:cs="华文中宋"/>
          <w:b/>
          <w:bCs/>
          <w:color w:val="auto"/>
          <w:sz w:val="48"/>
          <w:szCs w:val="48"/>
          <w:highlight w:val="none"/>
          <w:lang w:val="en-US" w:eastAsia="zh-CN"/>
        </w:rPr>
        <w:t>滨海新区</w:t>
      </w:r>
    </w:p>
    <w:p>
      <w:pPr>
        <w:tabs>
          <w:tab w:val="left" w:pos="690"/>
          <w:tab w:val="center" w:pos="4394"/>
        </w:tabs>
        <w:ind w:firstLine="0" w:firstLineChars="0"/>
        <w:jc w:val="center"/>
        <w:rPr>
          <w:rFonts w:ascii="宋体" w:hAnsi="宋体" w:eastAsia="宋体" w:cs="华文中宋"/>
          <w:b/>
          <w:bCs/>
          <w:color w:val="auto"/>
          <w:sz w:val="48"/>
          <w:szCs w:val="48"/>
          <w:highlight w:val="none"/>
        </w:rPr>
      </w:pPr>
      <w:r>
        <w:rPr>
          <w:rFonts w:hint="eastAsia" w:ascii="宋体" w:hAnsi="宋体" w:eastAsia="宋体" w:cs="华文中宋"/>
          <w:b/>
          <w:bCs/>
          <w:color w:val="auto"/>
          <w:sz w:val="48"/>
          <w:szCs w:val="48"/>
          <w:highlight w:val="none"/>
        </w:rPr>
        <w:t>新建商品房预售资金监管协议</w:t>
      </w:r>
    </w:p>
    <w:p>
      <w:pPr>
        <w:ind w:firstLine="618"/>
        <w:rPr>
          <w:rFonts w:ascii="楷体_GB2312" w:hAnsi="楷体_GB2312" w:eastAsia="楷体_GB2312" w:cs="楷体_GB2312"/>
          <w:b/>
          <w:bCs/>
          <w:color w:val="auto"/>
          <w:szCs w:val="32"/>
          <w:highlight w:val="none"/>
        </w:rPr>
      </w:pPr>
    </w:p>
    <w:p>
      <w:pPr>
        <w:spacing w:line="540" w:lineRule="exact"/>
        <w:ind w:firstLine="573" w:firstLineChars="214"/>
        <w:jc w:val="left"/>
        <w:rPr>
          <w:rFonts w:hint="eastAsia" w:ascii="宋体" w:hAnsi="宋体" w:eastAsia="仿宋_GB2312" w:cs="楷体_GB2312"/>
          <w:color w:val="auto"/>
          <w:sz w:val="28"/>
          <w:szCs w:val="28"/>
          <w:highlight w:val="none"/>
          <w:u w:val="single"/>
          <w:lang w:val="en-US" w:eastAsia="zh-CN"/>
        </w:rPr>
      </w:pPr>
      <w:r>
        <w:rPr>
          <w:rFonts w:hint="eastAsia" w:ascii="宋体" w:hAnsi="宋体" w:cs="楷体_GB2312"/>
          <w:color w:val="auto"/>
          <w:sz w:val="28"/>
          <w:szCs w:val="28"/>
          <w:highlight w:val="none"/>
        </w:rPr>
        <w:t>甲方：天津市</w:t>
      </w:r>
      <w:r>
        <w:rPr>
          <w:rFonts w:hint="eastAsia" w:ascii="宋体" w:hAnsi="宋体" w:cs="楷体_GB2312"/>
          <w:color w:val="auto"/>
          <w:sz w:val="28"/>
          <w:szCs w:val="28"/>
          <w:highlight w:val="none"/>
          <w:lang w:val="en-US" w:eastAsia="zh-CN"/>
        </w:rPr>
        <w:t>滨海新区住房和建设事务服务中心</w:t>
      </w:r>
    </w:p>
    <w:p>
      <w:pPr>
        <w:spacing w:line="540" w:lineRule="exact"/>
        <w:ind w:firstLine="573" w:firstLineChars="214"/>
        <w:rPr>
          <w:rFonts w:ascii="宋体" w:hAnsi="宋体" w:cs="楷体_GB2312"/>
          <w:color w:val="auto"/>
          <w:sz w:val="28"/>
          <w:szCs w:val="28"/>
          <w:highlight w:val="none"/>
          <w:u w:val="single"/>
        </w:rPr>
      </w:pPr>
      <w:r>
        <w:rPr>
          <w:rFonts w:hint="eastAsia" w:ascii="宋体" w:hAnsi="宋体" w:cs="楷体_GB2312"/>
          <w:color w:val="auto"/>
          <w:sz w:val="28"/>
          <w:szCs w:val="28"/>
          <w:highlight w:val="none"/>
          <w:lang w:eastAsia="zh-CN"/>
        </w:rPr>
        <w:t>乙</w:t>
      </w:r>
      <w:r>
        <w:rPr>
          <w:rFonts w:hint="eastAsia" w:ascii="宋体" w:hAnsi="宋体" w:cs="楷体_GB2312"/>
          <w:color w:val="auto"/>
          <w:sz w:val="28"/>
          <w:szCs w:val="28"/>
          <w:highlight w:val="none"/>
        </w:rPr>
        <w:t>方（开户银行）：</w:t>
      </w:r>
      <w:r>
        <w:rPr>
          <w:rFonts w:hint="eastAsia" w:ascii="宋体" w:hAnsi="宋体" w:cs="楷体_GB2312"/>
          <w:color w:val="auto"/>
          <w:sz w:val="28"/>
          <w:szCs w:val="28"/>
          <w:highlight w:val="none"/>
          <w:u w:val="single"/>
        </w:rPr>
        <w:t xml:space="preserve">                      </w:t>
      </w:r>
    </w:p>
    <w:p>
      <w:pPr>
        <w:spacing w:line="540" w:lineRule="exact"/>
        <w:ind w:firstLine="573" w:firstLineChars="214"/>
        <w:rPr>
          <w:rFonts w:ascii="宋体" w:hAnsi="宋体" w:cs="楷体_GB2312"/>
          <w:color w:val="auto"/>
          <w:sz w:val="28"/>
          <w:szCs w:val="28"/>
          <w:highlight w:val="none"/>
          <w:u w:val="single"/>
        </w:rPr>
      </w:pPr>
      <w:r>
        <w:rPr>
          <w:rFonts w:hint="eastAsia" w:ascii="宋体" w:hAnsi="宋体" w:cs="楷体_GB2312"/>
          <w:color w:val="auto"/>
          <w:sz w:val="28"/>
          <w:szCs w:val="28"/>
          <w:highlight w:val="none"/>
          <w:lang w:eastAsia="zh-CN"/>
        </w:rPr>
        <w:t>丙</w:t>
      </w:r>
      <w:r>
        <w:rPr>
          <w:rFonts w:hint="eastAsia" w:ascii="宋体" w:hAnsi="宋体" w:cs="楷体_GB2312"/>
          <w:color w:val="auto"/>
          <w:sz w:val="28"/>
          <w:szCs w:val="28"/>
          <w:highlight w:val="none"/>
        </w:rPr>
        <w:t>方（房地产开发企业）：</w:t>
      </w:r>
      <w:r>
        <w:rPr>
          <w:rFonts w:hint="eastAsia" w:ascii="宋体" w:hAnsi="宋体" w:cs="楷体_GB2312"/>
          <w:color w:val="auto"/>
          <w:sz w:val="28"/>
          <w:szCs w:val="28"/>
          <w:highlight w:val="none"/>
          <w:u w:val="single"/>
        </w:rPr>
        <w:t xml:space="preserve">                      </w:t>
      </w:r>
    </w:p>
    <w:p>
      <w:pPr>
        <w:spacing w:line="540" w:lineRule="exact"/>
        <w:ind w:firstLine="616"/>
        <w:jc w:val="left"/>
        <w:rPr>
          <w:color w:val="auto"/>
          <w:highlight w:val="none"/>
        </w:rPr>
      </w:pPr>
    </w:p>
    <w:p>
      <w:pPr>
        <w:spacing w:line="540" w:lineRule="exact"/>
        <w:ind w:firstLine="560"/>
        <w:jc w:val="left"/>
        <w:rPr>
          <w:color w:val="auto"/>
          <w:sz w:val="28"/>
          <w:szCs w:val="28"/>
          <w:highlight w:val="none"/>
        </w:rPr>
      </w:pPr>
      <w:r>
        <w:rPr>
          <w:rFonts w:hint="eastAsia"/>
          <w:color w:val="auto"/>
          <w:sz w:val="28"/>
          <w:szCs w:val="28"/>
          <w:highlight w:val="none"/>
        </w:rPr>
        <w:t>为规范商品房预售资金的监督管理，保障新建商品房预售资金用于本项目建设，根据国家和本市关于新建商品房预售资金监管有关规定，经</w:t>
      </w:r>
      <w:r>
        <w:rPr>
          <w:rFonts w:hint="eastAsia"/>
          <w:color w:val="auto"/>
          <w:sz w:val="28"/>
          <w:szCs w:val="28"/>
          <w:highlight w:val="none"/>
          <w:lang w:eastAsia="zh-CN"/>
        </w:rPr>
        <w:t>三</w:t>
      </w:r>
      <w:r>
        <w:rPr>
          <w:rFonts w:hint="eastAsia"/>
          <w:color w:val="auto"/>
          <w:sz w:val="28"/>
          <w:szCs w:val="28"/>
          <w:highlight w:val="none"/>
        </w:rPr>
        <w:t>方协商一致，现就</w:t>
      </w:r>
      <w:r>
        <w:rPr>
          <w:color w:val="auto"/>
          <w:sz w:val="28"/>
          <w:szCs w:val="28"/>
          <w:highlight w:val="none"/>
          <w:u w:val="single"/>
        </w:rPr>
        <w:t xml:space="preserve">                 </w:t>
      </w:r>
      <w:r>
        <w:rPr>
          <w:rFonts w:hint="eastAsia"/>
          <w:color w:val="auto"/>
          <w:sz w:val="28"/>
          <w:szCs w:val="28"/>
          <w:highlight w:val="none"/>
        </w:rPr>
        <w:t>项目的预售资金监管事项达成以下协议：</w:t>
      </w:r>
    </w:p>
    <w:p>
      <w:pPr>
        <w:tabs>
          <w:tab w:val="left" w:pos="3270"/>
        </w:tabs>
        <w:spacing w:line="540" w:lineRule="exact"/>
        <w:ind w:firstLine="578" w:firstLineChars="216"/>
        <w:jc w:val="left"/>
        <w:rPr>
          <w:rFonts w:ascii="黑体" w:hAnsi="宋体" w:eastAsia="黑体" w:cs="黑体"/>
          <w:color w:val="auto"/>
          <w:sz w:val="28"/>
          <w:szCs w:val="28"/>
          <w:highlight w:val="none"/>
        </w:rPr>
      </w:pPr>
      <w:r>
        <w:rPr>
          <w:rFonts w:hint="eastAsia" w:ascii="黑体" w:hAnsi="宋体" w:eastAsia="黑体" w:cs="黑体"/>
          <w:color w:val="auto"/>
          <w:sz w:val="28"/>
          <w:szCs w:val="28"/>
          <w:highlight w:val="none"/>
        </w:rPr>
        <w:t>一、监管账户基本信息</w:t>
      </w:r>
    </w:p>
    <w:p>
      <w:pPr>
        <w:spacing w:line="540" w:lineRule="exact"/>
        <w:ind w:firstLine="536"/>
        <w:jc w:val="left"/>
        <w:rPr>
          <w:rFonts w:ascii="仿宋_GB2312" w:hAnsi="宋体" w:cs="宋体"/>
          <w:color w:val="auto"/>
          <w:sz w:val="28"/>
          <w:szCs w:val="28"/>
          <w:highlight w:val="none"/>
          <w:u w:val="single"/>
        </w:rPr>
      </w:pPr>
      <w:r>
        <w:rPr>
          <w:rFonts w:hint="eastAsia" w:ascii="仿宋_GB2312" w:hAnsi="宋体" w:cs="宋体"/>
          <w:color w:val="auto"/>
          <w:sz w:val="28"/>
          <w:szCs w:val="28"/>
          <w:highlight w:val="none"/>
        </w:rPr>
        <w:t>项目名称:</w:t>
      </w:r>
      <w:r>
        <w:rPr>
          <w:rFonts w:hint="eastAsia" w:ascii="仿宋_GB2312" w:hAnsi="宋体" w:cs="宋体"/>
          <w:color w:val="auto"/>
          <w:sz w:val="28"/>
          <w:szCs w:val="28"/>
          <w:highlight w:val="none"/>
          <w:u w:val="single"/>
        </w:rPr>
        <w:t xml:space="preserve">                                   </w:t>
      </w:r>
    </w:p>
    <w:p>
      <w:pPr>
        <w:spacing w:line="540" w:lineRule="exact"/>
        <w:ind w:firstLine="536"/>
        <w:jc w:val="left"/>
        <w:rPr>
          <w:rFonts w:ascii="仿宋_GB2312" w:hAnsi="宋体" w:cs="宋体"/>
          <w:color w:val="auto"/>
          <w:sz w:val="28"/>
          <w:szCs w:val="28"/>
          <w:highlight w:val="none"/>
        </w:rPr>
      </w:pPr>
      <w:r>
        <w:rPr>
          <w:rFonts w:hint="eastAsia" w:ascii="仿宋_GB2312" w:hAnsi="宋体" w:cs="宋体"/>
          <w:color w:val="auto"/>
          <w:sz w:val="28"/>
          <w:szCs w:val="28"/>
          <w:highlight w:val="none"/>
        </w:rPr>
        <w:t>项目坐落：</w:t>
      </w:r>
      <w:r>
        <w:rPr>
          <w:rFonts w:hint="eastAsia" w:ascii="仿宋_GB2312" w:hAnsi="宋体" w:cs="宋体"/>
          <w:color w:val="auto"/>
          <w:sz w:val="28"/>
          <w:szCs w:val="28"/>
          <w:highlight w:val="none"/>
          <w:u w:val="single"/>
        </w:rPr>
        <w:t xml:space="preserve">                                  </w:t>
      </w:r>
    </w:p>
    <w:p>
      <w:pPr>
        <w:spacing w:line="540" w:lineRule="exact"/>
        <w:ind w:firstLine="536"/>
        <w:jc w:val="left"/>
        <w:rPr>
          <w:rFonts w:ascii="仿宋_GB2312" w:hAnsi="宋体" w:cs="宋体"/>
          <w:color w:val="auto"/>
          <w:sz w:val="28"/>
          <w:szCs w:val="28"/>
          <w:highlight w:val="none"/>
        </w:rPr>
      </w:pPr>
      <w:r>
        <w:rPr>
          <w:rFonts w:hint="eastAsia" w:ascii="仿宋_GB2312" w:hAnsi="宋体" w:cs="宋体"/>
          <w:color w:val="auto"/>
          <w:sz w:val="28"/>
          <w:szCs w:val="28"/>
          <w:highlight w:val="none"/>
        </w:rPr>
        <w:t>本次预售楼栋：</w:t>
      </w:r>
      <w:r>
        <w:rPr>
          <w:rFonts w:hint="eastAsia" w:ascii="仿宋_GB2312" w:hAnsi="宋体" w:cs="宋体"/>
          <w:color w:val="auto"/>
          <w:sz w:val="28"/>
          <w:szCs w:val="28"/>
          <w:highlight w:val="none"/>
          <w:u w:val="single"/>
        </w:rPr>
        <w:t xml:space="preserve">                              </w:t>
      </w:r>
    </w:p>
    <w:p>
      <w:pPr>
        <w:spacing w:line="540" w:lineRule="exact"/>
        <w:ind w:firstLine="536"/>
        <w:jc w:val="left"/>
        <w:rPr>
          <w:rFonts w:ascii="仿宋_GB2312" w:hAnsi="宋体" w:cs="宋体"/>
          <w:color w:val="auto"/>
          <w:sz w:val="28"/>
          <w:szCs w:val="28"/>
          <w:highlight w:val="none"/>
        </w:rPr>
      </w:pPr>
      <w:r>
        <w:rPr>
          <w:rFonts w:hint="eastAsia" w:ascii="仿宋_GB2312" w:hAnsi="宋体" w:cs="宋体"/>
          <w:color w:val="auto"/>
          <w:sz w:val="28"/>
          <w:szCs w:val="28"/>
          <w:highlight w:val="none"/>
        </w:rPr>
        <w:t>预售楼栋建筑面积：</w:t>
      </w:r>
      <w:r>
        <w:rPr>
          <w:rFonts w:hint="eastAsia" w:ascii="仿宋_GB2312" w:hAnsi="宋体" w:cs="宋体"/>
          <w:color w:val="auto"/>
          <w:sz w:val="28"/>
          <w:szCs w:val="28"/>
          <w:highlight w:val="none"/>
          <w:u w:val="single"/>
        </w:rPr>
        <w:t xml:space="preserve">                          </w:t>
      </w:r>
    </w:p>
    <w:p>
      <w:pPr>
        <w:spacing w:line="540" w:lineRule="exact"/>
        <w:ind w:firstLine="536"/>
        <w:jc w:val="left"/>
        <w:rPr>
          <w:rFonts w:ascii="仿宋_GB2312" w:hAnsi="宋体" w:cs="宋体"/>
          <w:color w:val="auto"/>
          <w:sz w:val="28"/>
          <w:szCs w:val="28"/>
          <w:highlight w:val="none"/>
        </w:rPr>
      </w:pPr>
      <w:r>
        <w:rPr>
          <w:rFonts w:hint="eastAsia" w:ascii="仿宋_GB2312" w:hAnsi="宋体" w:cs="宋体"/>
          <w:color w:val="auto"/>
          <w:sz w:val="28"/>
          <w:szCs w:val="28"/>
          <w:highlight w:val="none"/>
        </w:rPr>
        <w:t>监管额度：</w:t>
      </w:r>
      <w:r>
        <w:rPr>
          <w:rFonts w:hint="eastAsia" w:ascii="仿宋_GB2312" w:hAnsi="宋体" w:cs="宋体"/>
          <w:color w:val="auto"/>
          <w:sz w:val="28"/>
          <w:szCs w:val="28"/>
          <w:highlight w:val="none"/>
          <w:u w:val="single"/>
        </w:rPr>
        <w:t xml:space="preserve">                                  </w:t>
      </w:r>
    </w:p>
    <w:p>
      <w:pPr>
        <w:spacing w:line="540" w:lineRule="exact"/>
        <w:ind w:firstLine="536"/>
        <w:jc w:val="left"/>
        <w:rPr>
          <w:rFonts w:ascii="仿宋_GB2312" w:hAnsi="宋体" w:cs="宋体"/>
          <w:color w:val="auto"/>
          <w:sz w:val="28"/>
          <w:szCs w:val="28"/>
          <w:highlight w:val="none"/>
        </w:rPr>
      </w:pPr>
      <w:r>
        <w:rPr>
          <w:rFonts w:hint="eastAsia" w:ascii="仿宋_GB2312" w:hAnsi="宋体" w:cs="宋体"/>
          <w:color w:val="auto"/>
          <w:sz w:val="28"/>
          <w:szCs w:val="28"/>
          <w:highlight w:val="none"/>
        </w:rPr>
        <w:t>监管账户名称：</w:t>
      </w:r>
      <w:r>
        <w:rPr>
          <w:rFonts w:hint="eastAsia" w:ascii="仿宋_GB2312" w:hAnsi="宋体" w:cs="宋体"/>
          <w:color w:val="auto"/>
          <w:sz w:val="28"/>
          <w:szCs w:val="28"/>
          <w:highlight w:val="none"/>
          <w:u w:val="single"/>
        </w:rPr>
        <w:t xml:space="preserve">                              </w:t>
      </w:r>
    </w:p>
    <w:p>
      <w:pPr>
        <w:spacing w:line="540" w:lineRule="exact"/>
        <w:ind w:firstLine="536"/>
        <w:jc w:val="left"/>
        <w:rPr>
          <w:rFonts w:ascii="仿宋_GB2312" w:hAnsi="宋体" w:cs="宋体"/>
          <w:color w:val="auto"/>
          <w:sz w:val="28"/>
          <w:szCs w:val="28"/>
          <w:highlight w:val="none"/>
        </w:rPr>
      </w:pPr>
      <w:r>
        <w:rPr>
          <w:rFonts w:hint="eastAsia" w:ascii="仿宋_GB2312" w:hAnsi="宋体" w:cs="宋体"/>
          <w:color w:val="auto"/>
          <w:sz w:val="28"/>
          <w:szCs w:val="28"/>
          <w:highlight w:val="none"/>
        </w:rPr>
        <w:t>监管账号：</w:t>
      </w:r>
      <w:r>
        <w:rPr>
          <w:rFonts w:hint="eastAsia" w:ascii="仿宋_GB2312" w:hAnsi="宋体" w:cs="宋体"/>
          <w:color w:val="auto"/>
          <w:sz w:val="28"/>
          <w:szCs w:val="28"/>
          <w:highlight w:val="none"/>
          <w:u w:val="single"/>
        </w:rPr>
        <w:t xml:space="preserve">                                  </w:t>
      </w:r>
    </w:p>
    <w:p>
      <w:pPr>
        <w:spacing w:line="540" w:lineRule="exact"/>
        <w:ind w:firstLine="536"/>
        <w:jc w:val="left"/>
        <w:rPr>
          <w:rFonts w:ascii="仿宋_GB2312" w:hAnsi="宋体" w:cs="宋体"/>
          <w:color w:val="auto"/>
          <w:sz w:val="28"/>
          <w:szCs w:val="28"/>
          <w:highlight w:val="none"/>
          <w:u w:val="single"/>
        </w:rPr>
      </w:pPr>
      <w:r>
        <w:rPr>
          <w:rFonts w:hint="eastAsia" w:ascii="仿宋_GB2312" w:hAnsi="宋体" w:cs="宋体"/>
          <w:color w:val="auto"/>
          <w:sz w:val="28"/>
          <w:szCs w:val="28"/>
          <w:highlight w:val="none"/>
        </w:rPr>
        <w:t>监管协议编号：</w:t>
      </w:r>
      <w:r>
        <w:rPr>
          <w:rFonts w:hint="eastAsia" w:ascii="仿宋_GB2312" w:hAnsi="宋体" w:cs="宋体"/>
          <w:color w:val="auto"/>
          <w:sz w:val="28"/>
          <w:szCs w:val="28"/>
          <w:highlight w:val="none"/>
          <w:u w:val="single"/>
        </w:rPr>
        <w:t xml:space="preserve">                              </w:t>
      </w:r>
    </w:p>
    <w:p>
      <w:pPr>
        <w:spacing w:line="540" w:lineRule="exact"/>
        <w:ind w:firstLine="536"/>
        <w:jc w:val="left"/>
        <w:rPr>
          <w:rFonts w:ascii="仿宋_GB2312" w:hAnsi="宋体" w:cs="宋体"/>
          <w:color w:val="auto"/>
          <w:sz w:val="28"/>
          <w:szCs w:val="28"/>
          <w:highlight w:val="none"/>
        </w:rPr>
      </w:pPr>
      <w:r>
        <w:rPr>
          <w:rFonts w:ascii="仿宋_GB2312" w:hAnsi="宋体" w:cs="宋体"/>
          <w:color w:val="auto"/>
          <w:sz w:val="28"/>
          <w:szCs w:val="28"/>
          <w:highlight w:val="none"/>
          <w:lang w:bidi="zh-CN"/>
        </w:rPr>
        <w:t>该监管账户的使用范围仅限</w:t>
      </w:r>
      <w:r>
        <w:rPr>
          <w:rFonts w:hint="eastAsia" w:ascii="仿宋_GB2312" w:hAnsi="宋体" w:cs="宋体"/>
          <w:color w:val="auto"/>
          <w:sz w:val="28"/>
          <w:szCs w:val="28"/>
          <w:highlight w:val="none"/>
          <w:lang w:bidi="zh-CN"/>
        </w:rPr>
        <w:t>本次预售楼栋</w:t>
      </w:r>
      <w:r>
        <w:rPr>
          <w:rFonts w:ascii="仿宋_GB2312" w:hAnsi="宋体" w:cs="宋体"/>
          <w:color w:val="auto"/>
          <w:sz w:val="28"/>
          <w:szCs w:val="28"/>
          <w:highlight w:val="none"/>
          <w:lang w:bidi="zh-CN"/>
        </w:rPr>
        <w:t>预售资金的收存</w:t>
      </w:r>
      <w:r>
        <w:rPr>
          <w:rFonts w:hint="eastAsia" w:ascii="仿宋_GB2312" w:hAnsi="宋体" w:cs="宋体"/>
          <w:color w:val="auto"/>
          <w:sz w:val="28"/>
          <w:szCs w:val="28"/>
          <w:highlight w:val="none"/>
          <w:lang w:bidi="zh-CN"/>
        </w:rPr>
        <w:t>，</w:t>
      </w:r>
      <w:r>
        <w:rPr>
          <w:rFonts w:ascii="仿宋_GB2312" w:hAnsi="宋体" w:cs="宋体"/>
          <w:color w:val="auto"/>
          <w:sz w:val="28"/>
          <w:szCs w:val="28"/>
          <w:highlight w:val="none"/>
          <w:lang w:bidi="zh-CN"/>
        </w:rPr>
        <w:t>该监管账户不可支取现金，不得办理除查询功能以外的网上银行业务，不得办理质押，不得作为保证金账户及</w:t>
      </w:r>
      <w:r>
        <w:rPr>
          <w:rFonts w:hint="eastAsia" w:ascii="仿宋_GB2312" w:hAnsi="宋体" w:cs="宋体"/>
          <w:color w:val="auto"/>
          <w:sz w:val="28"/>
          <w:szCs w:val="28"/>
          <w:highlight w:val="none"/>
          <w:lang w:bidi="zh-CN"/>
        </w:rPr>
        <w:t>办理资金监管外的其他业务</w:t>
      </w:r>
      <w:r>
        <w:rPr>
          <w:rFonts w:ascii="仿宋_GB2312" w:hAnsi="宋体" w:cs="宋体"/>
          <w:color w:val="auto"/>
          <w:sz w:val="28"/>
          <w:szCs w:val="28"/>
          <w:highlight w:val="none"/>
          <w:lang w:bidi="zh-CN"/>
        </w:rPr>
        <w:t>。</w:t>
      </w:r>
    </w:p>
    <w:p>
      <w:pPr>
        <w:tabs>
          <w:tab w:val="left" w:pos="3270"/>
        </w:tabs>
        <w:spacing w:line="540" w:lineRule="exact"/>
        <w:ind w:firstLine="578" w:firstLineChars="216"/>
        <w:jc w:val="left"/>
        <w:rPr>
          <w:rFonts w:ascii="黑体" w:hAnsi="宋体" w:eastAsia="黑体" w:cs="黑体"/>
          <w:color w:val="auto"/>
          <w:sz w:val="28"/>
          <w:szCs w:val="28"/>
          <w:highlight w:val="none"/>
        </w:rPr>
      </w:pPr>
      <w:r>
        <w:rPr>
          <w:rFonts w:hint="eastAsia" w:ascii="黑体" w:hAnsi="宋体" w:eastAsia="黑体" w:cs="黑体"/>
          <w:color w:val="auto"/>
          <w:sz w:val="28"/>
          <w:szCs w:val="28"/>
          <w:highlight w:val="none"/>
        </w:rPr>
        <w:t>二、预售资金的收存</w:t>
      </w:r>
    </w:p>
    <w:p>
      <w:pPr>
        <w:spacing w:line="540" w:lineRule="exact"/>
        <w:ind w:firstLine="536"/>
        <w:jc w:val="left"/>
        <w:rPr>
          <w:rFonts w:ascii="仿宋_GB2312" w:hAnsi="宋体" w:cs="宋体"/>
          <w:color w:val="auto"/>
          <w:sz w:val="28"/>
          <w:szCs w:val="28"/>
          <w:highlight w:val="none"/>
        </w:rPr>
      </w:pPr>
      <w:r>
        <w:rPr>
          <w:rFonts w:hint="eastAsia" w:ascii="仿宋_GB2312" w:hAnsi="宋体" w:cs="宋体"/>
          <w:color w:val="auto"/>
          <w:sz w:val="28"/>
          <w:szCs w:val="28"/>
          <w:highlight w:val="none"/>
        </w:rPr>
        <w:t>新建商品房预售资金，是指房地产开发企业预售商品房时，购房人按照商品房买卖合同约定支付的全部房价款，包括定金、首付款、商业银行发放的按揭贷款、住房公积金贷款和其他形式的购房款。</w:t>
      </w:r>
    </w:p>
    <w:p>
      <w:pPr>
        <w:spacing w:line="540" w:lineRule="exact"/>
        <w:ind w:firstLine="536"/>
        <w:jc w:val="left"/>
        <w:rPr>
          <w:rFonts w:ascii="仿宋_GB2312" w:hAnsi="宋体" w:cs="宋体"/>
          <w:color w:val="auto"/>
          <w:sz w:val="28"/>
          <w:szCs w:val="28"/>
          <w:highlight w:val="none"/>
        </w:rPr>
      </w:pPr>
      <w:r>
        <w:rPr>
          <w:rFonts w:hint="eastAsia" w:ascii="仿宋_GB2312" w:hAnsi="宋体" w:cs="宋体"/>
          <w:color w:val="auto"/>
          <w:sz w:val="28"/>
          <w:szCs w:val="28"/>
          <w:highlight w:val="none"/>
        </w:rPr>
        <w:t>1</w:t>
      </w:r>
      <w:r>
        <w:rPr>
          <w:rFonts w:ascii="仿宋_GB2312" w:hAnsi="宋体" w:cs="宋体"/>
          <w:color w:val="auto"/>
          <w:sz w:val="28"/>
          <w:szCs w:val="28"/>
          <w:highlight w:val="none"/>
        </w:rPr>
        <w:t>.</w:t>
      </w:r>
      <w:r>
        <w:rPr>
          <w:rFonts w:hint="eastAsia" w:ascii="仿宋_GB2312" w:hAnsi="宋体" w:cs="宋体"/>
          <w:color w:val="auto"/>
          <w:sz w:val="28"/>
          <w:szCs w:val="28"/>
          <w:highlight w:val="none"/>
          <w:lang w:eastAsia="zh-CN"/>
        </w:rPr>
        <w:t>丙</w:t>
      </w:r>
      <w:r>
        <w:rPr>
          <w:rFonts w:hint="eastAsia" w:ascii="仿宋_GB2312" w:hAnsi="宋体" w:cs="宋体"/>
          <w:color w:val="auto"/>
          <w:sz w:val="28"/>
          <w:szCs w:val="28"/>
          <w:highlight w:val="none"/>
        </w:rPr>
        <w:t>方应协助购房人将房价款全部存入在</w:t>
      </w:r>
      <w:r>
        <w:rPr>
          <w:rFonts w:hint="eastAsia" w:ascii="仿宋_GB2312" w:hAnsi="宋体" w:cs="宋体"/>
          <w:color w:val="auto"/>
          <w:sz w:val="28"/>
          <w:szCs w:val="28"/>
          <w:highlight w:val="none"/>
          <w:lang w:eastAsia="zh-CN"/>
        </w:rPr>
        <w:t>乙</w:t>
      </w:r>
      <w:r>
        <w:rPr>
          <w:rFonts w:hint="eastAsia" w:ascii="仿宋_GB2312" w:hAnsi="宋体" w:cs="宋体"/>
          <w:color w:val="auto"/>
          <w:sz w:val="28"/>
          <w:szCs w:val="28"/>
          <w:highlight w:val="none"/>
        </w:rPr>
        <w:t>方开立的监管账户，不得直接收存房价款，不得另设其他账户收存本项目预售资金。</w:t>
      </w:r>
    </w:p>
    <w:p>
      <w:pPr>
        <w:spacing w:line="540" w:lineRule="exact"/>
        <w:ind w:firstLine="536"/>
        <w:jc w:val="left"/>
        <w:rPr>
          <w:rFonts w:ascii="仿宋_GB2312" w:hAnsi="宋体" w:cs="宋体"/>
          <w:color w:val="auto"/>
          <w:sz w:val="28"/>
          <w:szCs w:val="28"/>
          <w:highlight w:val="none"/>
        </w:rPr>
      </w:pPr>
      <w:r>
        <w:rPr>
          <w:rFonts w:hint="eastAsia" w:ascii="仿宋_GB2312" w:hAnsi="宋体" w:cs="宋体"/>
          <w:color w:val="auto"/>
          <w:sz w:val="28"/>
          <w:szCs w:val="28"/>
          <w:highlight w:val="none"/>
        </w:rPr>
        <w:t>购房人通过新建商品房预售资金监管专用pos机刷卡交款的，由于系统、pos机具故障等原因造成无法正常收款或入账的，</w:t>
      </w:r>
      <w:r>
        <w:rPr>
          <w:rFonts w:hint="eastAsia" w:ascii="仿宋_GB2312" w:hAnsi="宋体" w:cs="宋体"/>
          <w:color w:val="auto"/>
          <w:sz w:val="28"/>
          <w:szCs w:val="28"/>
          <w:highlight w:val="none"/>
          <w:lang w:eastAsia="zh-CN"/>
        </w:rPr>
        <w:t>乙</w:t>
      </w:r>
      <w:r>
        <w:rPr>
          <w:rFonts w:hint="eastAsia" w:ascii="仿宋_GB2312" w:hAnsi="宋体" w:cs="宋体"/>
          <w:color w:val="auto"/>
          <w:sz w:val="28"/>
          <w:szCs w:val="28"/>
          <w:highlight w:val="none"/>
        </w:rPr>
        <w:t>方应当及时配合</w:t>
      </w:r>
      <w:r>
        <w:rPr>
          <w:rFonts w:hint="eastAsia" w:ascii="仿宋_GB2312" w:hAnsi="宋体" w:cs="宋体"/>
          <w:color w:val="auto"/>
          <w:sz w:val="28"/>
          <w:szCs w:val="28"/>
          <w:highlight w:val="none"/>
          <w:lang w:eastAsia="zh-CN"/>
        </w:rPr>
        <w:t>丙</w:t>
      </w:r>
      <w:r>
        <w:rPr>
          <w:rFonts w:hint="eastAsia" w:ascii="仿宋_GB2312" w:hAnsi="宋体" w:cs="宋体"/>
          <w:color w:val="auto"/>
          <w:sz w:val="28"/>
          <w:szCs w:val="28"/>
          <w:highlight w:val="none"/>
        </w:rPr>
        <w:t>方，协调解决入账问题。</w:t>
      </w:r>
    </w:p>
    <w:p>
      <w:pPr>
        <w:spacing w:line="540" w:lineRule="exact"/>
        <w:ind w:firstLine="560"/>
        <w:jc w:val="left"/>
        <w:rPr>
          <w:rFonts w:ascii="仿宋_GB2312" w:hAnsi="宋体" w:cs="宋体"/>
          <w:color w:val="auto"/>
          <w:sz w:val="28"/>
          <w:szCs w:val="28"/>
          <w:highlight w:val="none"/>
        </w:rPr>
      </w:pPr>
      <w:r>
        <w:rPr>
          <w:rFonts w:ascii="仿宋_GB2312" w:hAnsi="宋体" w:cs="宋体"/>
          <w:color w:val="auto"/>
          <w:sz w:val="28"/>
          <w:szCs w:val="28"/>
          <w:highlight w:val="none"/>
        </w:rPr>
        <w:t>2</w:t>
      </w:r>
      <w:r>
        <w:rPr>
          <w:rFonts w:hint="eastAsia" w:ascii="仿宋_GB2312" w:hAnsi="宋体" w:cs="宋体"/>
          <w:color w:val="auto"/>
          <w:sz w:val="28"/>
          <w:szCs w:val="28"/>
          <w:highlight w:val="none"/>
        </w:rPr>
        <w:t>.</w:t>
      </w:r>
      <w:r>
        <w:rPr>
          <w:rFonts w:hint="eastAsia" w:ascii="仿宋_GB2312" w:hAnsi="宋体" w:cs="宋体"/>
          <w:color w:val="auto"/>
          <w:sz w:val="28"/>
          <w:szCs w:val="28"/>
          <w:highlight w:val="none"/>
          <w:lang w:eastAsia="zh-CN"/>
        </w:rPr>
        <w:t>乙</w:t>
      </w:r>
      <w:r>
        <w:rPr>
          <w:rFonts w:hint="eastAsia" w:ascii="仿宋_GB2312" w:hAnsi="宋体" w:cs="宋体"/>
          <w:color w:val="auto"/>
          <w:sz w:val="28"/>
          <w:szCs w:val="28"/>
          <w:highlight w:val="none"/>
        </w:rPr>
        <w:t>方在发放购房贷款时，应当将贷款直接发放至该套房屋对应的监管账户中，并按顶格半角的格式在附言中录入商品房合同号、购房人名字，避免产生不明入账。</w:t>
      </w:r>
    </w:p>
    <w:p>
      <w:pPr>
        <w:spacing w:line="540" w:lineRule="exact"/>
        <w:ind w:firstLine="536"/>
        <w:jc w:val="left"/>
        <w:rPr>
          <w:rFonts w:ascii="仿宋_GB2312" w:hAnsi="宋体" w:cs="宋体"/>
          <w:color w:val="auto"/>
          <w:sz w:val="28"/>
          <w:szCs w:val="28"/>
          <w:highlight w:val="none"/>
          <w:lang w:bidi="zh-CN"/>
        </w:rPr>
      </w:pPr>
      <w:r>
        <w:rPr>
          <w:rFonts w:hint="eastAsia" w:ascii="仿宋_GB2312" w:hAnsi="宋体" w:cs="宋体"/>
          <w:color w:val="auto"/>
          <w:sz w:val="28"/>
          <w:szCs w:val="28"/>
          <w:highlight w:val="none"/>
        </w:rPr>
        <w:t>3.</w:t>
      </w:r>
      <w:r>
        <w:rPr>
          <w:rFonts w:ascii="仿宋_GB2312" w:hAnsi="宋体" w:cs="宋体"/>
          <w:color w:val="auto"/>
          <w:sz w:val="28"/>
          <w:szCs w:val="28"/>
          <w:highlight w:val="none"/>
          <w:lang w:bidi="zh-CN"/>
        </w:rPr>
        <w:t>监管账户</w:t>
      </w:r>
      <w:r>
        <w:rPr>
          <w:rFonts w:hint="eastAsia" w:ascii="仿宋_GB2312" w:hAnsi="宋体" w:cs="宋体"/>
          <w:color w:val="auto"/>
          <w:sz w:val="28"/>
          <w:szCs w:val="28"/>
          <w:highlight w:val="none"/>
          <w:lang w:bidi="zh-CN"/>
        </w:rPr>
        <w:t>的银行</w:t>
      </w:r>
      <w:r>
        <w:rPr>
          <w:rFonts w:ascii="仿宋_GB2312" w:hAnsi="宋体" w:cs="宋体"/>
          <w:color w:val="auto"/>
          <w:sz w:val="28"/>
          <w:szCs w:val="28"/>
          <w:highlight w:val="none"/>
          <w:lang w:bidi="zh-CN"/>
        </w:rPr>
        <w:t>实际余额与监管系统显示不符时，</w:t>
      </w:r>
      <w:r>
        <w:rPr>
          <w:rFonts w:hint="eastAsia" w:ascii="仿宋_GB2312" w:hAnsi="宋体" w:cs="宋体"/>
          <w:color w:val="auto"/>
          <w:sz w:val="28"/>
          <w:szCs w:val="28"/>
          <w:highlight w:val="none"/>
          <w:lang w:bidi="zh-CN"/>
        </w:rPr>
        <w:t>乙</w:t>
      </w:r>
      <w:r>
        <w:rPr>
          <w:rFonts w:ascii="仿宋_GB2312" w:hAnsi="宋体" w:cs="宋体"/>
          <w:color w:val="auto"/>
          <w:sz w:val="28"/>
          <w:szCs w:val="28"/>
          <w:highlight w:val="none"/>
          <w:lang w:bidi="zh-CN"/>
        </w:rPr>
        <w:t>方应当积极查找原因，纠正误差</w:t>
      </w:r>
      <w:r>
        <w:rPr>
          <w:rFonts w:hint="eastAsia" w:ascii="仿宋_GB2312" w:hAnsi="宋体" w:cs="宋体"/>
          <w:color w:val="auto"/>
          <w:sz w:val="28"/>
          <w:szCs w:val="28"/>
          <w:highlight w:val="none"/>
          <w:lang w:bidi="zh-CN"/>
        </w:rPr>
        <w:t>。</w:t>
      </w:r>
      <w:r>
        <w:rPr>
          <w:rFonts w:ascii="仿宋_GB2312" w:hAnsi="宋体" w:cs="宋体"/>
          <w:color w:val="auto"/>
          <w:sz w:val="28"/>
          <w:szCs w:val="28"/>
          <w:highlight w:val="none"/>
          <w:lang w:bidi="zh-CN"/>
        </w:rPr>
        <w:t>调整差错期间，监管账户暂停拨付</w:t>
      </w:r>
      <w:r>
        <w:rPr>
          <w:rFonts w:hint="eastAsia" w:ascii="仿宋_GB2312" w:hAnsi="宋体" w:cs="宋体"/>
          <w:color w:val="auto"/>
          <w:sz w:val="28"/>
          <w:szCs w:val="28"/>
          <w:highlight w:val="none"/>
          <w:lang w:bidi="zh-CN"/>
        </w:rPr>
        <w:t>。</w:t>
      </w:r>
      <w:r>
        <w:rPr>
          <w:rFonts w:ascii="仿宋_GB2312" w:hAnsi="宋体" w:cs="宋体"/>
          <w:color w:val="auto"/>
          <w:sz w:val="28"/>
          <w:szCs w:val="28"/>
          <w:highlight w:val="none"/>
          <w:lang w:bidi="zh-CN"/>
        </w:rPr>
        <w:t>对产生的不明入账款项，</w:t>
      </w:r>
      <w:r>
        <w:rPr>
          <w:rFonts w:hint="eastAsia" w:ascii="仿宋_GB2312" w:hAnsi="宋体" w:cs="宋体"/>
          <w:color w:val="auto"/>
          <w:sz w:val="28"/>
          <w:szCs w:val="28"/>
          <w:highlight w:val="none"/>
          <w:lang w:bidi="zh-CN"/>
        </w:rPr>
        <w:t>乙方</w:t>
      </w:r>
      <w:r>
        <w:rPr>
          <w:rFonts w:ascii="仿宋_GB2312" w:hAnsi="宋体" w:cs="宋体"/>
          <w:color w:val="auto"/>
          <w:sz w:val="28"/>
          <w:szCs w:val="28"/>
          <w:highlight w:val="none"/>
          <w:lang w:bidi="zh-CN"/>
        </w:rPr>
        <w:t>应</w:t>
      </w:r>
      <w:r>
        <w:rPr>
          <w:rFonts w:hint="eastAsia" w:ascii="仿宋_GB2312" w:hAnsi="宋体" w:cs="宋体"/>
          <w:color w:val="auto"/>
          <w:sz w:val="28"/>
          <w:szCs w:val="28"/>
          <w:highlight w:val="none"/>
          <w:lang w:bidi="zh-CN"/>
        </w:rPr>
        <w:t>当</w:t>
      </w:r>
      <w:r>
        <w:rPr>
          <w:rFonts w:ascii="仿宋_GB2312" w:hAnsi="宋体" w:cs="宋体"/>
          <w:color w:val="auto"/>
          <w:sz w:val="28"/>
          <w:szCs w:val="28"/>
          <w:highlight w:val="none"/>
          <w:lang w:bidi="zh-CN"/>
        </w:rPr>
        <w:t>与</w:t>
      </w:r>
      <w:r>
        <w:rPr>
          <w:rFonts w:hint="eastAsia" w:ascii="仿宋_GB2312" w:hAnsi="宋体" w:cs="宋体"/>
          <w:color w:val="auto"/>
          <w:sz w:val="28"/>
          <w:szCs w:val="28"/>
          <w:highlight w:val="none"/>
          <w:lang w:bidi="zh-CN"/>
        </w:rPr>
        <w:t>资金发起行或丙方</w:t>
      </w:r>
      <w:r>
        <w:rPr>
          <w:rFonts w:ascii="仿宋_GB2312" w:hAnsi="宋体" w:cs="宋体"/>
          <w:color w:val="auto"/>
          <w:sz w:val="28"/>
          <w:szCs w:val="28"/>
          <w:highlight w:val="none"/>
          <w:lang w:bidi="zh-CN"/>
        </w:rPr>
        <w:t>核实资金来源</w:t>
      </w:r>
      <w:r>
        <w:rPr>
          <w:rFonts w:hint="eastAsia" w:ascii="仿宋_GB2312" w:hAnsi="宋体" w:cs="宋体"/>
          <w:color w:val="auto"/>
          <w:sz w:val="28"/>
          <w:szCs w:val="28"/>
          <w:highlight w:val="none"/>
          <w:lang w:bidi="zh-CN"/>
        </w:rPr>
        <w:t>，属于本账户房款的，确认到对应的缴款通知书编号下；不属于本账户房款的，应当配合丙方做冲正业务。</w:t>
      </w:r>
    </w:p>
    <w:p>
      <w:pPr>
        <w:spacing w:line="540" w:lineRule="exact"/>
        <w:ind w:firstLine="536"/>
        <w:jc w:val="left"/>
        <w:rPr>
          <w:rFonts w:ascii="仿宋_GB2312" w:hAnsi="宋体" w:cs="宋体"/>
          <w:color w:val="auto"/>
          <w:sz w:val="28"/>
          <w:szCs w:val="28"/>
          <w:highlight w:val="none"/>
        </w:rPr>
      </w:pPr>
      <w:r>
        <w:rPr>
          <w:rFonts w:hint="eastAsia" w:ascii="仿宋_GB2312" w:hAnsi="宋体" w:cs="宋体"/>
          <w:color w:val="auto"/>
          <w:sz w:val="28"/>
          <w:szCs w:val="28"/>
          <w:highlight w:val="none"/>
        </w:rPr>
        <w:t>4</w:t>
      </w:r>
      <w:r>
        <w:rPr>
          <w:rFonts w:ascii="仿宋_GB2312" w:hAnsi="宋体" w:cs="宋体"/>
          <w:color w:val="auto"/>
          <w:sz w:val="28"/>
          <w:szCs w:val="28"/>
          <w:highlight w:val="none"/>
        </w:rPr>
        <w:t>.</w:t>
      </w:r>
      <w:r>
        <w:rPr>
          <w:rFonts w:hint="eastAsia" w:ascii="仿宋_GB2312" w:hAnsi="宋体" w:cs="宋体"/>
          <w:color w:val="auto"/>
          <w:sz w:val="28"/>
          <w:szCs w:val="28"/>
          <w:highlight w:val="none"/>
        </w:rPr>
        <w:t>监管账户余额、发生额以</w:t>
      </w:r>
      <w:r>
        <w:rPr>
          <w:rFonts w:hint="eastAsia" w:ascii="仿宋_GB2312" w:hAnsi="宋体" w:cs="宋体"/>
          <w:color w:val="auto"/>
          <w:sz w:val="28"/>
          <w:szCs w:val="28"/>
          <w:highlight w:val="none"/>
          <w:lang w:eastAsia="zh-CN"/>
        </w:rPr>
        <w:t>乙</w:t>
      </w:r>
      <w:r>
        <w:rPr>
          <w:rFonts w:hint="eastAsia" w:ascii="仿宋_GB2312" w:hAnsi="宋体" w:cs="宋体"/>
          <w:color w:val="auto"/>
          <w:sz w:val="28"/>
          <w:szCs w:val="28"/>
          <w:highlight w:val="none"/>
        </w:rPr>
        <w:t>方出具的凭证为准。</w:t>
      </w:r>
    </w:p>
    <w:p>
      <w:pPr>
        <w:tabs>
          <w:tab w:val="left" w:pos="3270"/>
        </w:tabs>
        <w:spacing w:line="540" w:lineRule="exact"/>
        <w:ind w:firstLine="578" w:firstLineChars="216"/>
        <w:jc w:val="left"/>
        <w:rPr>
          <w:rFonts w:ascii="黑体" w:hAnsi="宋体" w:eastAsia="黑体" w:cs="黑体"/>
          <w:color w:val="auto"/>
          <w:sz w:val="28"/>
          <w:szCs w:val="28"/>
          <w:highlight w:val="none"/>
        </w:rPr>
      </w:pPr>
      <w:r>
        <w:rPr>
          <w:rFonts w:hint="eastAsia" w:ascii="黑体" w:hAnsi="宋体" w:eastAsia="黑体" w:cs="黑体"/>
          <w:color w:val="auto"/>
          <w:sz w:val="28"/>
          <w:szCs w:val="28"/>
          <w:highlight w:val="none"/>
        </w:rPr>
        <w:t>三、预售资金的支取</w:t>
      </w:r>
    </w:p>
    <w:p>
      <w:pPr>
        <w:spacing w:line="540" w:lineRule="exact"/>
        <w:ind w:firstLine="536"/>
        <w:jc w:val="left"/>
        <w:rPr>
          <w:color w:val="auto"/>
          <w:sz w:val="28"/>
          <w:szCs w:val="28"/>
          <w:highlight w:val="none"/>
        </w:rPr>
      </w:pPr>
      <w:r>
        <w:rPr>
          <w:rFonts w:hint="eastAsia"/>
          <w:color w:val="auto"/>
          <w:sz w:val="28"/>
          <w:szCs w:val="28"/>
          <w:highlight w:val="none"/>
        </w:rPr>
        <w:t>1.</w:t>
      </w:r>
      <w:r>
        <w:rPr>
          <w:rFonts w:hint="eastAsia"/>
          <w:color w:val="auto"/>
          <w:sz w:val="28"/>
          <w:szCs w:val="28"/>
          <w:highlight w:val="none"/>
          <w:lang w:eastAsia="zh-CN"/>
        </w:rPr>
        <w:t>丙</w:t>
      </w:r>
      <w:r>
        <w:rPr>
          <w:rFonts w:hint="eastAsia"/>
          <w:color w:val="auto"/>
          <w:sz w:val="28"/>
          <w:szCs w:val="28"/>
          <w:highlight w:val="none"/>
        </w:rPr>
        <w:t>方申请使用监管额度内资金的，应当按照国家和本市有关规定向</w:t>
      </w:r>
      <w:r>
        <w:rPr>
          <w:rFonts w:hint="eastAsia"/>
          <w:color w:val="auto"/>
          <w:sz w:val="28"/>
          <w:szCs w:val="28"/>
          <w:highlight w:val="none"/>
          <w:lang w:eastAsia="zh-CN"/>
        </w:rPr>
        <w:t>甲</w:t>
      </w:r>
      <w:r>
        <w:rPr>
          <w:rFonts w:hint="eastAsia"/>
          <w:color w:val="auto"/>
          <w:sz w:val="28"/>
          <w:szCs w:val="28"/>
          <w:highlight w:val="none"/>
        </w:rPr>
        <w:t>方提供相关材料。</w:t>
      </w:r>
    </w:p>
    <w:p>
      <w:pPr>
        <w:spacing w:line="540" w:lineRule="exact"/>
        <w:ind w:firstLine="536"/>
        <w:jc w:val="left"/>
        <w:rPr>
          <w:color w:val="auto"/>
          <w:sz w:val="28"/>
          <w:szCs w:val="28"/>
          <w:highlight w:val="none"/>
        </w:rPr>
      </w:pPr>
      <w:r>
        <w:rPr>
          <w:rFonts w:hint="eastAsia"/>
          <w:color w:val="auto"/>
          <w:sz w:val="28"/>
          <w:szCs w:val="28"/>
          <w:highlight w:val="none"/>
        </w:rPr>
        <w:t>2.</w:t>
      </w:r>
      <w:r>
        <w:rPr>
          <w:rFonts w:hint="eastAsia"/>
          <w:color w:val="auto"/>
          <w:sz w:val="28"/>
          <w:szCs w:val="28"/>
          <w:highlight w:val="none"/>
          <w:lang w:eastAsia="zh-CN"/>
        </w:rPr>
        <w:t>丙</w:t>
      </w:r>
      <w:r>
        <w:rPr>
          <w:rFonts w:hint="eastAsia"/>
          <w:color w:val="auto"/>
          <w:sz w:val="28"/>
          <w:szCs w:val="28"/>
          <w:highlight w:val="none"/>
        </w:rPr>
        <w:t>方与购房人解除商品房买卖合同或取消缴款通知书的，由</w:t>
      </w:r>
      <w:r>
        <w:rPr>
          <w:rFonts w:hint="eastAsia"/>
          <w:color w:val="auto"/>
          <w:sz w:val="28"/>
          <w:szCs w:val="28"/>
          <w:highlight w:val="none"/>
          <w:lang w:eastAsia="zh-CN"/>
        </w:rPr>
        <w:t>丙</w:t>
      </w:r>
      <w:r>
        <w:rPr>
          <w:rFonts w:hint="eastAsia"/>
          <w:color w:val="auto"/>
          <w:sz w:val="28"/>
          <w:szCs w:val="28"/>
          <w:highlight w:val="none"/>
        </w:rPr>
        <w:t>方自行结算退款。退还房价款后，</w:t>
      </w:r>
      <w:r>
        <w:rPr>
          <w:rFonts w:hint="eastAsia"/>
          <w:color w:val="auto"/>
          <w:sz w:val="28"/>
          <w:szCs w:val="28"/>
          <w:highlight w:val="none"/>
          <w:lang w:eastAsia="zh-CN"/>
        </w:rPr>
        <w:t>丙</w:t>
      </w:r>
      <w:r>
        <w:rPr>
          <w:rFonts w:hint="eastAsia"/>
          <w:color w:val="auto"/>
          <w:sz w:val="28"/>
          <w:szCs w:val="28"/>
          <w:highlight w:val="none"/>
        </w:rPr>
        <w:t>方可以向</w:t>
      </w:r>
      <w:r>
        <w:rPr>
          <w:rFonts w:hint="eastAsia"/>
          <w:color w:val="auto"/>
          <w:sz w:val="28"/>
          <w:szCs w:val="28"/>
          <w:highlight w:val="none"/>
          <w:lang w:eastAsia="zh-CN"/>
        </w:rPr>
        <w:t>甲</w:t>
      </w:r>
      <w:r>
        <w:rPr>
          <w:rFonts w:hint="eastAsia"/>
          <w:color w:val="auto"/>
          <w:sz w:val="28"/>
          <w:szCs w:val="28"/>
          <w:highlight w:val="none"/>
        </w:rPr>
        <w:t>方申请提取该套房屋留存在监管账户中的预售资金。</w:t>
      </w:r>
    </w:p>
    <w:p>
      <w:pPr>
        <w:spacing w:line="540" w:lineRule="exact"/>
        <w:ind w:firstLine="536"/>
        <w:jc w:val="left"/>
        <w:rPr>
          <w:rFonts w:hint="eastAsia"/>
          <w:color w:val="auto"/>
          <w:sz w:val="28"/>
          <w:szCs w:val="28"/>
          <w:highlight w:val="none"/>
        </w:rPr>
      </w:pPr>
      <w:r>
        <w:rPr>
          <w:rFonts w:hint="eastAsia"/>
          <w:color w:val="auto"/>
          <w:sz w:val="28"/>
          <w:szCs w:val="28"/>
          <w:highlight w:val="none"/>
        </w:rPr>
        <w:t>3.</w:t>
      </w:r>
      <w:r>
        <w:rPr>
          <w:rFonts w:hint="eastAsia"/>
          <w:color w:val="auto"/>
          <w:sz w:val="28"/>
          <w:szCs w:val="28"/>
          <w:highlight w:val="none"/>
          <w:lang w:eastAsia="zh-CN"/>
        </w:rPr>
        <w:t>丙</w:t>
      </w:r>
      <w:r>
        <w:rPr>
          <w:rFonts w:hint="eastAsia"/>
          <w:color w:val="auto"/>
          <w:sz w:val="28"/>
          <w:szCs w:val="28"/>
          <w:highlight w:val="none"/>
        </w:rPr>
        <w:t>方可按照有关规定，办理保函置换预售监管资金业务。</w:t>
      </w:r>
      <w:r>
        <w:rPr>
          <w:rFonts w:hint="eastAsia"/>
          <w:color w:val="auto"/>
          <w:sz w:val="28"/>
          <w:szCs w:val="28"/>
          <w:highlight w:val="none"/>
          <w:lang w:eastAsia="zh-CN"/>
        </w:rPr>
        <w:t>乙</w:t>
      </w:r>
      <w:r>
        <w:rPr>
          <w:rFonts w:hint="eastAsia"/>
          <w:color w:val="auto"/>
          <w:sz w:val="28"/>
          <w:szCs w:val="28"/>
          <w:highlight w:val="none"/>
        </w:rPr>
        <w:t>方对保函的合法性、保函银行</w:t>
      </w:r>
      <w:r>
        <w:rPr>
          <w:color w:val="auto"/>
          <w:sz w:val="28"/>
          <w:szCs w:val="28"/>
          <w:highlight w:val="none"/>
        </w:rPr>
        <w:t>赔付能力</w:t>
      </w:r>
      <w:r>
        <w:rPr>
          <w:rFonts w:hint="eastAsia"/>
          <w:color w:val="auto"/>
          <w:sz w:val="28"/>
          <w:szCs w:val="28"/>
          <w:highlight w:val="none"/>
        </w:rPr>
        <w:t>、赔付责任等承担审核责任。</w:t>
      </w:r>
      <w:r>
        <w:rPr>
          <w:color w:val="auto"/>
          <w:sz w:val="28"/>
          <w:szCs w:val="28"/>
          <w:highlight w:val="none"/>
        </w:rPr>
        <w:t>在保函有效期内，</w:t>
      </w:r>
      <w:r>
        <w:rPr>
          <w:rFonts w:hint="eastAsia"/>
          <w:color w:val="auto"/>
          <w:sz w:val="28"/>
          <w:szCs w:val="28"/>
          <w:highlight w:val="none"/>
        </w:rPr>
        <w:t>如果</w:t>
      </w:r>
      <w:r>
        <w:rPr>
          <w:rFonts w:hint="eastAsia"/>
          <w:color w:val="auto"/>
          <w:sz w:val="28"/>
          <w:szCs w:val="28"/>
          <w:highlight w:val="none"/>
          <w:lang w:eastAsia="zh-CN"/>
        </w:rPr>
        <w:t>丙</w:t>
      </w:r>
      <w:r>
        <w:rPr>
          <w:rFonts w:hint="eastAsia"/>
          <w:color w:val="auto"/>
          <w:sz w:val="28"/>
          <w:szCs w:val="28"/>
          <w:highlight w:val="none"/>
        </w:rPr>
        <w:t>方违反新建商品房预售资金监管相关规定的，</w:t>
      </w:r>
      <w:r>
        <w:rPr>
          <w:rFonts w:hint="eastAsia"/>
          <w:color w:val="auto"/>
          <w:sz w:val="28"/>
          <w:szCs w:val="28"/>
          <w:highlight w:val="none"/>
          <w:lang w:eastAsia="zh-CN"/>
        </w:rPr>
        <w:t>乙</w:t>
      </w:r>
      <w:r>
        <w:rPr>
          <w:rFonts w:hint="eastAsia"/>
          <w:color w:val="auto"/>
          <w:sz w:val="28"/>
          <w:szCs w:val="28"/>
          <w:highlight w:val="none"/>
        </w:rPr>
        <w:t>方</w:t>
      </w:r>
      <w:r>
        <w:rPr>
          <w:color w:val="auto"/>
          <w:sz w:val="28"/>
          <w:szCs w:val="28"/>
          <w:highlight w:val="none"/>
        </w:rPr>
        <w:t>不能以任何理由对抗索赔</w:t>
      </w:r>
      <w:r>
        <w:rPr>
          <w:rFonts w:hint="eastAsia"/>
          <w:color w:val="auto"/>
          <w:sz w:val="28"/>
          <w:szCs w:val="28"/>
          <w:highlight w:val="none"/>
        </w:rPr>
        <w:t>，索赔金额上限为担保金额。</w:t>
      </w:r>
    </w:p>
    <w:p>
      <w:pPr>
        <w:spacing w:line="540" w:lineRule="exact"/>
        <w:ind w:firstLine="536"/>
        <w:jc w:val="left"/>
        <w:rPr>
          <w:rFonts w:ascii="黑体" w:hAnsi="宋体" w:eastAsia="黑体" w:cs="黑体"/>
          <w:color w:val="auto"/>
          <w:sz w:val="28"/>
          <w:szCs w:val="28"/>
          <w:highlight w:val="none"/>
        </w:rPr>
      </w:pPr>
      <w:r>
        <w:rPr>
          <w:rFonts w:hint="eastAsia" w:ascii="黑体" w:hAnsi="宋体" w:eastAsia="黑体" w:cs="黑体"/>
          <w:color w:val="auto"/>
          <w:sz w:val="28"/>
          <w:szCs w:val="28"/>
          <w:highlight w:val="none"/>
          <w:lang w:val="en-US" w:eastAsia="zh-CN"/>
        </w:rPr>
        <w:t>四</w:t>
      </w:r>
      <w:r>
        <w:rPr>
          <w:rFonts w:hint="eastAsia" w:ascii="黑体" w:hAnsi="宋体" w:eastAsia="黑体" w:cs="黑体"/>
          <w:color w:val="auto"/>
          <w:sz w:val="28"/>
          <w:szCs w:val="28"/>
          <w:highlight w:val="none"/>
        </w:rPr>
        <w:t>、责任义务</w:t>
      </w:r>
    </w:p>
    <w:p>
      <w:pPr>
        <w:pStyle w:val="2"/>
        <w:wordWrap/>
        <w:spacing w:before="0" w:beforeAutospacing="0" w:after="0" w:afterAutospacing="0" w:line="540" w:lineRule="exact"/>
        <w:ind w:firstLine="536" w:firstLineChars="200"/>
        <w:jc w:val="both"/>
        <w:rPr>
          <w:rFonts w:ascii="仿宋_GB2312" w:hAnsi="宋体" w:eastAsia="仿宋_GB2312" w:cs="宋体"/>
          <w:color w:val="auto"/>
          <w:spacing w:val="-6"/>
          <w:kern w:val="2"/>
          <w:sz w:val="28"/>
          <w:szCs w:val="28"/>
          <w:highlight w:val="none"/>
        </w:rPr>
      </w:pPr>
      <w:r>
        <w:rPr>
          <w:rFonts w:hint="eastAsia" w:ascii="仿宋_GB2312" w:hAnsi="宋体" w:eastAsia="仿宋_GB2312" w:cs="宋体"/>
          <w:color w:val="auto"/>
          <w:spacing w:val="-6"/>
          <w:kern w:val="2"/>
          <w:sz w:val="28"/>
          <w:szCs w:val="28"/>
          <w:highlight w:val="none"/>
        </w:rPr>
        <w:t>1.</w:t>
      </w:r>
      <w:r>
        <w:rPr>
          <w:rFonts w:hint="eastAsia" w:ascii="仿宋_GB2312" w:hAnsi="宋体" w:eastAsia="仿宋_GB2312" w:cs="宋体"/>
          <w:color w:val="auto"/>
          <w:spacing w:val="-6"/>
          <w:kern w:val="2"/>
          <w:sz w:val="28"/>
          <w:szCs w:val="28"/>
          <w:highlight w:val="none"/>
          <w:lang w:val="en-US" w:eastAsia="zh-CN"/>
        </w:rPr>
        <w:t>天津市房地产市场服务中心</w:t>
      </w:r>
      <w:r>
        <w:rPr>
          <w:rFonts w:hint="eastAsia" w:ascii="仿宋_GB2312" w:hAnsi="宋体" w:eastAsia="仿宋_GB2312" w:cs="宋体"/>
          <w:color w:val="auto"/>
          <w:spacing w:val="-6"/>
          <w:kern w:val="2"/>
          <w:sz w:val="28"/>
          <w:szCs w:val="28"/>
          <w:highlight w:val="none"/>
        </w:rPr>
        <w:t>向</w:t>
      </w:r>
      <w:r>
        <w:rPr>
          <w:rFonts w:hint="eastAsia" w:ascii="仿宋_GB2312" w:hAnsi="宋体" w:eastAsia="仿宋_GB2312" w:cs="宋体"/>
          <w:color w:val="auto"/>
          <w:spacing w:val="-6"/>
          <w:kern w:val="2"/>
          <w:sz w:val="28"/>
          <w:szCs w:val="28"/>
          <w:highlight w:val="none"/>
          <w:lang w:eastAsia="zh-CN"/>
        </w:rPr>
        <w:t>乙</w:t>
      </w:r>
      <w:r>
        <w:rPr>
          <w:rFonts w:hint="eastAsia" w:ascii="仿宋_GB2312" w:hAnsi="宋体" w:eastAsia="仿宋_GB2312" w:cs="宋体"/>
          <w:color w:val="auto"/>
          <w:spacing w:val="-6"/>
          <w:kern w:val="2"/>
          <w:sz w:val="28"/>
          <w:szCs w:val="28"/>
          <w:highlight w:val="none"/>
        </w:rPr>
        <w:t>方提供新建商品房预售资金监管系统的业务需求、相关技术资料和计算机接口，保障系统正常运行。</w:t>
      </w:r>
      <w:r>
        <w:rPr>
          <w:rFonts w:hint="eastAsia" w:ascii="仿宋_GB2312" w:hAnsi="宋体" w:eastAsia="仿宋_GB2312" w:cs="宋体"/>
          <w:color w:val="auto"/>
          <w:spacing w:val="-6"/>
          <w:kern w:val="2"/>
          <w:sz w:val="28"/>
          <w:szCs w:val="28"/>
          <w:highlight w:val="none"/>
          <w:lang w:val="en-US" w:eastAsia="zh-CN"/>
        </w:rPr>
        <w:t>天津市房地产市场服务中心</w:t>
      </w:r>
      <w:r>
        <w:rPr>
          <w:rFonts w:hint="eastAsia" w:ascii="仿宋_GB2312" w:hAnsi="宋体" w:eastAsia="仿宋_GB2312" w:cs="宋体"/>
          <w:color w:val="auto"/>
          <w:spacing w:val="-6"/>
          <w:kern w:val="2"/>
          <w:sz w:val="28"/>
          <w:szCs w:val="28"/>
          <w:highlight w:val="none"/>
        </w:rPr>
        <w:t>如调整改变业务需求，应当及时通知</w:t>
      </w:r>
      <w:r>
        <w:rPr>
          <w:rFonts w:hint="eastAsia" w:ascii="仿宋_GB2312" w:hAnsi="宋体" w:eastAsia="仿宋_GB2312" w:cs="宋体"/>
          <w:color w:val="auto"/>
          <w:spacing w:val="-6"/>
          <w:kern w:val="2"/>
          <w:sz w:val="28"/>
          <w:szCs w:val="28"/>
          <w:highlight w:val="none"/>
          <w:lang w:eastAsia="zh-CN"/>
        </w:rPr>
        <w:t>乙</w:t>
      </w:r>
      <w:r>
        <w:rPr>
          <w:rFonts w:hint="eastAsia" w:ascii="仿宋_GB2312" w:hAnsi="宋体" w:eastAsia="仿宋_GB2312" w:cs="宋体"/>
          <w:color w:val="auto"/>
          <w:spacing w:val="-6"/>
          <w:kern w:val="2"/>
          <w:sz w:val="28"/>
          <w:szCs w:val="28"/>
          <w:highlight w:val="none"/>
        </w:rPr>
        <w:t>方，</w:t>
      </w:r>
      <w:r>
        <w:rPr>
          <w:rFonts w:hint="eastAsia" w:ascii="仿宋_GB2312" w:hAnsi="宋体" w:eastAsia="仿宋_GB2312" w:cs="宋体"/>
          <w:color w:val="auto"/>
          <w:spacing w:val="-6"/>
          <w:kern w:val="2"/>
          <w:sz w:val="28"/>
          <w:szCs w:val="28"/>
          <w:highlight w:val="none"/>
          <w:lang w:eastAsia="zh-CN"/>
        </w:rPr>
        <w:t>乙</w:t>
      </w:r>
      <w:r>
        <w:rPr>
          <w:rFonts w:hint="eastAsia" w:ascii="仿宋_GB2312" w:hAnsi="宋体" w:eastAsia="仿宋_GB2312" w:cs="宋体"/>
          <w:color w:val="auto"/>
          <w:spacing w:val="-6"/>
          <w:kern w:val="2"/>
          <w:sz w:val="28"/>
          <w:szCs w:val="28"/>
          <w:highlight w:val="none"/>
        </w:rPr>
        <w:t>方在接到</w:t>
      </w:r>
      <w:r>
        <w:rPr>
          <w:rFonts w:hint="eastAsia" w:ascii="仿宋_GB2312" w:hAnsi="宋体" w:eastAsia="仿宋_GB2312" w:cs="宋体"/>
          <w:color w:val="auto"/>
          <w:spacing w:val="-6"/>
          <w:kern w:val="2"/>
          <w:sz w:val="28"/>
          <w:szCs w:val="28"/>
          <w:highlight w:val="none"/>
          <w:lang w:val="en-US" w:eastAsia="zh-CN"/>
        </w:rPr>
        <w:t>天津市房地产市场服务中心</w:t>
      </w:r>
      <w:r>
        <w:rPr>
          <w:rFonts w:hint="eastAsia" w:ascii="仿宋_GB2312" w:hAnsi="宋体" w:eastAsia="仿宋_GB2312" w:cs="宋体"/>
          <w:color w:val="auto"/>
          <w:spacing w:val="-6"/>
          <w:kern w:val="2"/>
          <w:sz w:val="28"/>
          <w:szCs w:val="28"/>
          <w:highlight w:val="none"/>
        </w:rPr>
        <w:t>业务需求变更通知后，应在约定时限内做好技术和业务调整，确保业务顺利开展。</w:t>
      </w:r>
    </w:p>
    <w:p>
      <w:pPr>
        <w:pStyle w:val="2"/>
        <w:wordWrap/>
        <w:spacing w:before="0" w:beforeAutospacing="0" w:after="0" w:afterAutospacing="0" w:line="540" w:lineRule="exact"/>
        <w:ind w:firstLine="536" w:firstLineChars="200"/>
        <w:jc w:val="both"/>
        <w:rPr>
          <w:rFonts w:ascii="仿宋_GB2312" w:hAnsi="宋体" w:eastAsia="仿宋_GB2312" w:cs="宋体"/>
          <w:color w:val="auto"/>
          <w:spacing w:val="-6"/>
          <w:kern w:val="2"/>
          <w:sz w:val="28"/>
          <w:szCs w:val="28"/>
          <w:highlight w:val="none"/>
        </w:rPr>
      </w:pPr>
      <w:r>
        <w:rPr>
          <w:rFonts w:hint="eastAsia" w:ascii="仿宋_GB2312" w:hAnsi="宋体" w:eastAsia="仿宋_GB2312" w:cs="宋体"/>
          <w:color w:val="auto"/>
          <w:spacing w:val="-6"/>
          <w:kern w:val="2"/>
          <w:sz w:val="28"/>
          <w:szCs w:val="28"/>
          <w:highlight w:val="none"/>
        </w:rPr>
        <w:t>2.</w:t>
      </w:r>
      <w:r>
        <w:rPr>
          <w:rFonts w:hint="eastAsia" w:ascii="仿宋_GB2312" w:hAnsi="宋体" w:eastAsia="仿宋_GB2312" w:cs="宋体"/>
          <w:color w:val="auto"/>
          <w:spacing w:val="-6"/>
          <w:kern w:val="2"/>
          <w:sz w:val="28"/>
          <w:szCs w:val="28"/>
          <w:highlight w:val="none"/>
          <w:lang w:eastAsia="zh-CN"/>
        </w:rPr>
        <w:t>甲</w:t>
      </w:r>
      <w:r>
        <w:rPr>
          <w:rFonts w:hint="eastAsia" w:ascii="仿宋_GB2312" w:hAnsi="宋体" w:eastAsia="仿宋_GB2312" w:cs="宋体"/>
          <w:color w:val="auto"/>
          <w:spacing w:val="-6"/>
          <w:kern w:val="2"/>
          <w:sz w:val="28"/>
          <w:szCs w:val="28"/>
          <w:highlight w:val="none"/>
        </w:rPr>
        <w:t>方应当对</w:t>
      </w:r>
      <w:r>
        <w:rPr>
          <w:rFonts w:hint="eastAsia" w:ascii="仿宋_GB2312" w:hAnsi="宋体" w:eastAsia="仿宋_GB2312" w:cs="宋体"/>
          <w:color w:val="auto"/>
          <w:spacing w:val="-6"/>
          <w:kern w:val="2"/>
          <w:sz w:val="28"/>
          <w:szCs w:val="28"/>
          <w:highlight w:val="none"/>
          <w:lang w:eastAsia="zh-CN"/>
        </w:rPr>
        <w:t>丙</w:t>
      </w:r>
      <w:r>
        <w:rPr>
          <w:rFonts w:hint="eastAsia" w:ascii="仿宋_GB2312" w:hAnsi="宋体" w:eastAsia="仿宋_GB2312" w:cs="宋体"/>
          <w:color w:val="auto"/>
          <w:spacing w:val="-6"/>
          <w:kern w:val="2"/>
          <w:sz w:val="28"/>
          <w:szCs w:val="28"/>
          <w:highlight w:val="none"/>
        </w:rPr>
        <w:t>方用款申请进行审核，并将拨付指令及时发送至</w:t>
      </w:r>
      <w:r>
        <w:rPr>
          <w:rFonts w:hint="eastAsia" w:ascii="仿宋_GB2312" w:hAnsi="宋体" w:eastAsia="仿宋_GB2312" w:cs="宋体"/>
          <w:color w:val="auto"/>
          <w:spacing w:val="-6"/>
          <w:kern w:val="2"/>
          <w:sz w:val="28"/>
          <w:szCs w:val="28"/>
          <w:highlight w:val="none"/>
          <w:lang w:eastAsia="zh-CN"/>
        </w:rPr>
        <w:t>乙</w:t>
      </w:r>
      <w:r>
        <w:rPr>
          <w:rFonts w:hint="eastAsia" w:ascii="仿宋_GB2312" w:hAnsi="宋体" w:eastAsia="仿宋_GB2312" w:cs="宋体"/>
          <w:color w:val="auto"/>
          <w:spacing w:val="-6"/>
          <w:kern w:val="2"/>
          <w:sz w:val="28"/>
          <w:szCs w:val="28"/>
          <w:highlight w:val="none"/>
        </w:rPr>
        <w:t>方。</w:t>
      </w:r>
    </w:p>
    <w:p>
      <w:pPr>
        <w:pStyle w:val="2"/>
        <w:wordWrap/>
        <w:spacing w:before="0" w:beforeAutospacing="0" w:after="0" w:afterAutospacing="0" w:line="540" w:lineRule="exact"/>
        <w:ind w:firstLine="536" w:firstLineChars="200"/>
        <w:jc w:val="both"/>
        <w:rPr>
          <w:rFonts w:ascii="仿宋_GB2312" w:hAnsi="宋体" w:eastAsia="仿宋_GB2312" w:cs="宋体"/>
          <w:color w:val="auto"/>
          <w:spacing w:val="-6"/>
          <w:kern w:val="2"/>
          <w:sz w:val="28"/>
          <w:szCs w:val="28"/>
          <w:highlight w:val="none"/>
        </w:rPr>
      </w:pPr>
      <w:r>
        <w:rPr>
          <w:rFonts w:hint="eastAsia" w:ascii="仿宋_GB2312" w:hAnsi="宋体" w:eastAsia="仿宋_GB2312" w:cs="宋体"/>
          <w:color w:val="auto"/>
          <w:spacing w:val="-6"/>
          <w:kern w:val="2"/>
          <w:sz w:val="28"/>
          <w:szCs w:val="28"/>
          <w:highlight w:val="none"/>
        </w:rPr>
        <w:t>3.</w:t>
      </w:r>
      <w:r>
        <w:rPr>
          <w:rFonts w:hint="eastAsia" w:ascii="仿宋_GB2312" w:hAnsi="宋体" w:eastAsia="仿宋_GB2312" w:cs="宋体"/>
          <w:color w:val="auto"/>
          <w:spacing w:val="-6"/>
          <w:kern w:val="2"/>
          <w:sz w:val="28"/>
          <w:szCs w:val="28"/>
          <w:highlight w:val="none"/>
          <w:lang w:eastAsia="zh-CN"/>
        </w:rPr>
        <w:t>乙</w:t>
      </w:r>
      <w:r>
        <w:rPr>
          <w:rFonts w:hint="eastAsia" w:ascii="仿宋_GB2312" w:hAnsi="宋体" w:eastAsia="仿宋_GB2312" w:cs="宋体"/>
          <w:color w:val="auto"/>
          <w:spacing w:val="-6"/>
          <w:kern w:val="2"/>
          <w:sz w:val="28"/>
          <w:szCs w:val="28"/>
          <w:highlight w:val="none"/>
        </w:rPr>
        <w:t>方为</w:t>
      </w:r>
      <w:r>
        <w:rPr>
          <w:rFonts w:hint="eastAsia" w:ascii="仿宋_GB2312" w:hAnsi="宋体" w:eastAsia="仿宋_GB2312" w:cs="宋体"/>
          <w:color w:val="auto"/>
          <w:spacing w:val="-6"/>
          <w:kern w:val="2"/>
          <w:sz w:val="28"/>
          <w:szCs w:val="28"/>
          <w:highlight w:val="none"/>
          <w:lang w:eastAsia="zh-CN"/>
        </w:rPr>
        <w:t>甲方</w:t>
      </w:r>
      <w:r>
        <w:rPr>
          <w:rFonts w:hint="eastAsia" w:ascii="仿宋_GB2312" w:hAnsi="宋体" w:eastAsia="仿宋_GB2312" w:cs="宋体"/>
          <w:color w:val="auto"/>
          <w:spacing w:val="-6"/>
          <w:kern w:val="2"/>
          <w:sz w:val="28"/>
          <w:szCs w:val="28"/>
          <w:highlight w:val="none"/>
        </w:rPr>
        <w:t>履行新建商品房预售资金监管职责提供相关金融服务，严格履行账户管理、资金收存、资金划拨等义务，为</w:t>
      </w:r>
      <w:r>
        <w:rPr>
          <w:rFonts w:hint="eastAsia" w:ascii="仿宋_GB2312" w:hAnsi="宋体" w:eastAsia="仿宋_GB2312" w:cs="宋体"/>
          <w:color w:val="auto"/>
          <w:spacing w:val="-6"/>
          <w:kern w:val="2"/>
          <w:sz w:val="28"/>
          <w:szCs w:val="28"/>
          <w:highlight w:val="none"/>
          <w:lang w:eastAsia="zh-CN"/>
        </w:rPr>
        <w:t>丙</w:t>
      </w:r>
      <w:r>
        <w:rPr>
          <w:rFonts w:hint="eastAsia" w:ascii="仿宋_GB2312" w:hAnsi="宋体" w:eastAsia="仿宋_GB2312" w:cs="宋体"/>
          <w:color w:val="auto"/>
          <w:spacing w:val="-6"/>
          <w:kern w:val="2"/>
          <w:sz w:val="28"/>
          <w:szCs w:val="28"/>
          <w:highlight w:val="none"/>
        </w:rPr>
        <w:t>方和购房人提供优质高效服务。</w:t>
      </w:r>
      <w:r>
        <w:rPr>
          <w:rFonts w:hint="eastAsia" w:ascii="仿宋_GB2312" w:hAnsi="宋体" w:eastAsia="仿宋_GB2312" w:cs="宋体"/>
          <w:color w:val="auto"/>
          <w:spacing w:val="-6"/>
          <w:kern w:val="2"/>
          <w:sz w:val="28"/>
          <w:szCs w:val="28"/>
          <w:highlight w:val="none"/>
          <w:lang w:eastAsia="zh-CN"/>
        </w:rPr>
        <w:t>乙</w:t>
      </w:r>
      <w:r>
        <w:rPr>
          <w:rFonts w:hint="eastAsia" w:ascii="仿宋_GB2312" w:hAnsi="宋体" w:eastAsia="仿宋_GB2312" w:cs="宋体"/>
          <w:color w:val="auto"/>
          <w:spacing w:val="-6"/>
          <w:kern w:val="2"/>
          <w:sz w:val="28"/>
          <w:szCs w:val="28"/>
          <w:highlight w:val="none"/>
        </w:rPr>
        <w:t>方配合</w:t>
      </w:r>
      <w:r>
        <w:rPr>
          <w:rFonts w:hint="eastAsia" w:ascii="仿宋_GB2312" w:hAnsi="宋体" w:eastAsia="仿宋_GB2312" w:cs="宋体"/>
          <w:color w:val="auto"/>
          <w:spacing w:val="-6"/>
          <w:kern w:val="2"/>
          <w:sz w:val="28"/>
          <w:szCs w:val="28"/>
          <w:highlight w:val="none"/>
          <w:lang w:eastAsia="zh-CN"/>
        </w:rPr>
        <w:t>甲方</w:t>
      </w:r>
      <w:r>
        <w:rPr>
          <w:rFonts w:hint="eastAsia" w:ascii="仿宋_GB2312" w:hAnsi="宋体" w:eastAsia="仿宋_GB2312" w:cs="宋体"/>
          <w:color w:val="auto"/>
          <w:spacing w:val="-6"/>
          <w:kern w:val="2"/>
          <w:sz w:val="28"/>
          <w:szCs w:val="28"/>
          <w:highlight w:val="none"/>
        </w:rPr>
        <w:t>工作，查询提供监管账户进账、出账、放贷、冻结、扣划等相关信息及纸质材料。</w:t>
      </w:r>
    </w:p>
    <w:p>
      <w:pPr>
        <w:pStyle w:val="2"/>
        <w:wordWrap/>
        <w:spacing w:before="0" w:beforeAutospacing="0" w:after="0" w:afterAutospacing="0" w:line="540" w:lineRule="exact"/>
        <w:ind w:firstLine="536" w:firstLineChars="200"/>
        <w:jc w:val="both"/>
        <w:rPr>
          <w:rFonts w:ascii="仿宋_GB2312" w:hAnsi="宋体" w:eastAsia="仿宋_GB2312" w:cs="宋体"/>
          <w:color w:val="auto"/>
          <w:spacing w:val="-6"/>
          <w:kern w:val="2"/>
          <w:sz w:val="28"/>
          <w:szCs w:val="28"/>
          <w:highlight w:val="none"/>
        </w:rPr>
      </w:pPr>
      <w:r>
        <w:rPr>
          <w:rFonts w:hint="eastAsia" w:ascii="仿宋_GB2312" w:hAnsi="宋体" w:eastAsia="仿宋_GB2312" w:cs="宋体"/>
          <w:color w:val="auto"/>
          <w:spacing w:val="-6"/>
          <w:kern w:val="2"/>
          <w:sz w:val="28"/>
          <w:szCs w:val="28"/>
          <w:highlight w:val="none"/>
        </w:rPr>
        <w:t>4.</w:t>
      </w:r>
      <w:r>
        <w:rPr>
          <w:rFonts w:hint="eastAsia" w:ascii="仿宋_GB2312" w:hAnsi="宋体" w:eastAsia="仿宋_GB2312" w:cs="宋体"/>
          <w:color w:val="auto"/>
          <w:spacing w:val="-6"/>
          <w:kern w:val="2"/>
          <w:sz w:val="28"/>
          <w:szCs w:val="28"/>
          <w:highlight w:val="none"/>
          <w:lang w:eastAsia="zh-CN"/>
        </w:rPr>
        <w:t>乙</w:t>
      </w:r>
      <w:r>
        <w:rPr>
          <w:rFonts w:hint="eastAsia" w:ascii="仿宋_GB2312" w:hAnsi="宋体" w:eastAsia="仿宋_GB2312" w:cs="宋体"/>
          <w:color w:val="auto"/>
          <w:spacing w:val="-6"/>
          <w:kern w:val="2"/>
          <w:sz w:val="28"/>
          <w:szCs w:val="28"/>
          <w:highlight w:val="none"/>
        </w:rPr>
        <w:t>方应当于预售资金监管账户开立后5个工作日内，为</w:t>
      </w:r>
      <w:r>
        <w:rPr>
          <w:rFonts w:hint="eastAsia" w:ascii="仿宋_GB2312" w:hAnsi="宋体" w:eastAsia="仿宋_GB2312" w:cs="宋体"/>
          <w:color w:val="auto"/>
          <w:spacing w:val="-6"/>
          <w:kern w:val="2"/>
          <w:sz w:val="28"/>
          <w:szCs w:val="28"/>
          <w:highlight w:val="none"/>
          <w:lang w:eastAsia="zh-CN"/>
        </w:rPr>
        <w:t>丙</w:t>
      </w:r>
      <w:r>
        <w:rPr>
          <w:rFonts w:hint="eastAsia" w:ascii="仿宋_GB2312" w:hAnsi="宋体" w:eastAsia="仿宋_GB2312" w:cs="宋体"/>
          <w:color w:val="auto"/>
          <w:spacing w:val="-6"/>
          <w:kern w:val="2"/>
          <w:sz w:val="28"/>
          <w:szCs w:val="28"/>
          <w:highlight w:val="none"/>
        </w:rPr>
        <w:t>方安装与</w:t>
      </w:r>
      <w:r>
        <w:rPr>
          <w:rFonts w:hint="eastAsia" w:ascii="仿宋_GB2312" w:hAnsi="宋体" w:eastAsia="仿宋_GB2312" w:cs="宋体"/>
          <w:color w:val="auto"/>
          <w:spacing w:val="-6"/>
          <w:kern w:val="2"/>
          <w:sz w:val="28"/>
          <w:szCs w:val="28"/>
          <w:highlight w:val="none"/>
          <w:lang w:val="en-US" w:eastAsia="zh-CN"/>
        </w:rPr>
        <w:t>天津市房地产市场服务中心</w:t>
      </w:r>
      <w:r>
        <w:rPr>
          <w:rFonts w:hint="eastAsia" w:ascii="仿宋_GB2312" w:hAnsi="宋体" w:eastAsia="仿宋_GB2312" w:cs="宋体"/>
          <w:color w:val="auto"/>
          <w:spacing w:val="-6"/>
          <w:kern w:val="2"/>
          <w:sz w:val="28"/>
          <w:szCs w:val="28"/>
          <w:highlight w:val="none"/>
        </w:rPr>
        <w:t>系统连接的新建商品房预售资金监管专用pos机（以下简称专用pos机），向</w:t>
      </w:r>
      <w:r>
        <w:rPr>
          <w:rFonts w:hint="eastAsia" w:ascii="仿宋_GB2312" w:hAnsi="宋体" w:eastAsia="仿宋_GB2312" w:cs="宋体"/>
          <w:color w:val="auto"/>
          <w:spacing w:val="-6"/>
          <w:kern w:val="2"/>
          <w:sz w:val="28"/>
          <w:szCs w:val="28"/>
          <w:highlight w:val="none"/>
          <w:lang w:eastAsia="zh-CN"/>
        </w:rPr>
        <w:t>丙</w:t>
      </w:r>
      <w:r>
        <w:rPr>
          <w:rFonts w:hint="eastAsia" w:ascii="仿宋_GB2312" w:hAnsi="宋体" w:eastAsia="仿宋_GB2312" w:cs="宋体"/>
          <w:color w:val="auto"/>
          <w:spacing w:val="-6"/>
          <w:kern w:val="2"/>
          <w:sz w:val="28"/>
          <w:szCs w:val="28"/>
          <w:highlight w:val="none"/>
        </w:rPr>
        <w:t>方工作人员说明专用pos机使用方法并负责维护工作。</w:t>
      </w:r>
    </w:p>
    <w:p>
      <w:pPr>
        <w:pStyle w:val="2"/>
        <w:wordWrap/>
        <w:spacing w:before="0" w:beforeAutospacing="0" w:after="0" w:afterAutospacing="0" w:line="540" w:lineRule="exact"/>
        <w:ind w:firstLine="536" w:firstLineChars="200"/>
        <w:jc w:val="both"/>
        <w:rPr>
          <w:rFonts w:ascii="仿宋_GB2312" w:hAnsi="宋体" w:eastAsia="仿宋_GB2312" w:cs="宋体"/>
          <w:color w:val="auto"/>
          <w:spacing w:val="-6"/>
          <w:kern w:val="2"/>
          <w:sz w:val="28"/>
          <w:szCs w:val="28"/>
          <w:highlight w:val="none"/>
        </w:rPr>
      </w:pPr>
      <w:r>
        <w:rPr>
          <w:rFonts w:hint="eastAsia" w:ascii="仿宋_GB2312" w:hAnsi="宋体" w:eastAsia="仿宋_GB2312" w:cs="宋体"/>
          <w:color w:val="auto"/>
          <w:spacing w:val="-6"/>
          <w:kern w:val="2"/>
          <w:sz w:val="28"/>
          <w:szCs w:val="28"/>
          <w:highlight w:val="none"/>
        </w:rPr>
        <w:t>5.</w:t>
      </w:r>
      <w:r>
        <w:rPr>
          <w:rFonts w:hint="eastAsia" w:ascii="仿宋_GB2312" w:hAnsi="宋体" w:eastAsia="仿宋_GB2312" w:cs="宋体"/>
          <w:color w:val="auto"/>
          <w:spacing w:val="-6"/>
          <w:kern w:val="2"/>
          <w:sz w:val="28"/>
          <w:szCs w:val="28"/>
          <w:highlight w:val="none"/>
          <w:lang w:eastAsia="zh-CN"/>
        </w:rPr>
        <w:t>乙</w:t>
      </w:r>
      <w:r>
        <w:rPr>
          <w:rFonts w:hint="eastAsia" w:ascii="仿宋_GB2312" w:hAnsi="宋体" w:eastAsia="仿宋_GB2312" w:cs="宋体"/>
          <w:color w:val="auto"/>
          <w:spacing w:val="-6"/>
          <w:kern w:val="2"/>
          <w:sz w:val="28"/>
          <w:szCs w:val="28"/>
          <w:highlight w:val="none"/>
        </w:rPr>
        <w:t>方应当根据</w:t>
      </w:r>
      <w:r>
        <w:rPr>
          <w:rFonts w:hint="eastAsia" w:ascii="仿宋_GB2312" w:hAnsi="宋体" w:eastAsia="仿宋_GB2312" w:cs="宋体"/>
          <w:color w:val="auto"/>
          <w:spacing w:val="-6"/>
          <w:kern w:val="2"/>
          <w:sz w:val="28"/>
          <w:szCs w:val="28"/>
          <w:highlight w:val="none"/>
          <w:lang w:eastAsia="zh-CN"/>
        </w:rPr>
        <w:t>甲</w:t>
      </w:r>
      <w:r>
        <w:rPr>
          <w:rFonts w:hint="eastAsia" w:ascii="仿宋_GB2312" w:hAnsi="宋体" w:eastAsia="仿宋_GB2312" w:cs="宋体"/>
          <w:color w:val="auto"/>
          <w:spacing w:val="-6"/>
          <w:kern w:val="2"/>
          <w:sz w:val="28"/>
          <w:szCs w:val="28"/>
          <w:highlight w:val="none"/>
        </w:rPr>
        <w:t>方出具的同意拨付证明和传输的电子信息核对</w:t>
      </w:r>
      <w:r>
        <w:rPr>
          <w:rFonts w:hint="eastAsia" w:ascii="仿宋_GB2312" w:hAnsi="宋体" w:eastAsia="仿宋_GB2312" w:cs="宋体"/>
          <w:color w:val="auto"/>
          <w:spacing w:val="-6"/>
          <w:kern w:val="2"/>
          <w:sz w:val="28"/>
          <w:szCs w:val="28"/>
          <w:highlight w:val="none"/>
          <w:lang w:eastAsia="zh-CN"/>
        </w:rPr>
        <w:t>丙</w:t>
      </w:r>
      <w:r>
        <w:rPr>
          <w:rFonts w:hint="eastAsia" w:ascii="仿宋_GB2312" w:hAnsi="宋体" w:eastAsia="仿宋_GB2312" w:cs="宋体"/>
          <w:color w:val="auto"/>
          <w:spacing w:val="-6"/>
          <w:kern w:val="2"/>
          <w:sz w:val="28"/>
          <w:szCs w:val="28"/>
          <w:highlight w:val="none"/>
        </w:rPr>
        <w:t>方提交的划款凭证，于2个工作</w:t>
      </w:r>
      <w:r>
        <w:rPr>
          <w:rFonts w:ascii="仿宋_GB2312" w:hAnsi="宋体" w:eastAsia="仿宋_GB2312" w:cs="宋体"/>
          <w:color w:val="auto"/>
          <w:spacing w:val="-6"/>
          <w:kern w:val="2"/>
          <w:sz w:val="28"/>
          <w:szCs w:val="28"/>
          <w:highlight w:val="none"/>
        </w:rPr>
        <w:t>日</w:t>
      </w:r>
      <w:r>
        <w:rPr>
          <w:rFonts w:hint="eastAsia" w:ascii="仿宋_GB2312" w:hAnsi="宋体" w:eastAsia="仿宋_GB2312" w:cs="宋体"/>
          <w:color w:val="auto"/>
          <w:spacing w:val="-6"/>
          <w:kern w:val="2"/>
          <w:sz w:val="28"/>
          <w:szCs w:val="28"/>
          <w:highlight w:val="none"/>
        </w:rPr>
        <w:t>内</w:t>
      </w:r>
      <w:r>
        <w:rPr>
          <w:rFonts w:ascii="仿宋_GB2312" w:hAnsi="宋体" w:eastAsia="仿宋_GB2312" w:cs="宋体"/>
          <w:color w:val="auto"/>
          <w:spacing w:val="-6"/>
          <w:kern w:val="2"/>
          <w:sz w:val="28"/>
          <w:szCs w:val="28"/>
          <w:highlight w:val="none"/>
        </w:rPr>
        <w:t>将核准使用资金拨付给收款单位。监管账户中的</w:t>
      </w:r>
      <w:r>
        <w:rPr>
          <w:rFonts w:hint="eastAsia" w:ascii="仿宋_GB2312" w:hAnsi="宋体" w:eastAsia="仿宋_GB2312" w:cs="宋体"/>
          <w:color w:val="auto"/>
          <w:spacing w:val="-6"/>
          <w:kern w:val="2"/>
          <w:sz w:val="28"/>
          <w:szCs w:val="28"/>
          <w:highlight w:val="none"/>
        </w:rPr>
        <w:t>资金</w:t>
      </w:r>
      <w:r>
        <w:rPr>
          <w:rFonts w:ascii="仿宋_GB2312" w:hAnsi="宋体" w:eastAsia="仿宋_GB2312" w:cs="宋体"/>
          <w:color w:val="auto"/>
          <w:spacing w:val="-6"/>
          <w:kern w:val="2"/>
          <w:sz w:val="28"/>
          <w:szCs w:val="28"/>
          <w:highlight w:val="none"/>
        </w:rPr>
        <w:t>拨付应当通过银行柜台</w:t>
      </w:r>
      <w:r>
        <w:rPr>
          <w:rFonts w:hint="eastAsia" w:ascii="仿宋_GB2312" w:hAnsi="宋体" w:eastAsia="仿宋_GB2312" w:cs="宋体"/>
          <w:color w:val="auto"/>
          <w:spacing w:val="-6"/>
          <w:kern w:val="2"/>
          <w:sz w:val="28"/>
          <w:szCs w:val="28"/>
          <w:highlight w:val="none"/>
        </w:rPr>
        <w:t>操作</w:t>
      </w:r>
      <w:r>
        <w:rPr>
          <w:rFonts w:ascii="仿宋_GB2312" w:hAnsi="宋体" w:eastAsia="仿宋_GB2312" w:cs="宋体"/>
          <w:color w:val="auto"/>
          <w:spacing w:val="-6"/>
          <w:kern w:val="2"/>
          <w:sz w:val="28"/>
          <w:szCs w:val="28"/>
          <w:highlight w:val="none"/>
        </w:rPr>
        <w:t>，并统一使用天津市新建商品房预售资金监管账户划款凭证</w:t>
      </w:r>
      <w:r>
        <w:rPr>
          <w:rFonts w:hint="eastAsia" w:ascii="仿宋_GB2312" w:hAnsi="宋体" w:eastAsia="仿宋_GB2312" w:cs="宋体"/>
          <w:color w:val="auto"/>
          <w:spacing w:val="-6"/>
          <w:kern w:val="2"/>
          <w:sz w:val="28"/>
          <w:szCs w:val="28"/>
          <w:highlight w:val="none"/>
        </w:rPr>
        <w:t>。</w:t>
      </w:r>
    </w:p>
    <w:p>
      <w:pPr>
        <w:pStyle w:val="2"/>
        <w:wordWrap/>
        <w:spacing w:before="0" w:beforeAutospacing="0" w:after="0" w:afterAutospacing="0" w:line="540" w:lineRule="exact"/>
        <w:ind w:firstLine="536" w:firstLineChars="200"/>
        <w:jc w:val="both"/>
        <w:rPr>
          <w:rFonts w:ascii="仿宋_GB2312" w:hAnsi="宋体" w:eastAsia="仿宋_GB2312" w:cs="宋体"/>
          <w:color w:val="auto"/>
          <w:spacing w:val="-6"/>
          <w:kern w:val="2"/>
          <w:sz w:val="28"/>
          <w:szCs w:val="28"/>
          <w:highlight w:val="none"/>
        </w:rPr>
      </w:pPr>
      <w:r>
        <w:rPr>
          <w:rFonts w:hint="eastAsia" w:ascii="仿宋_GB2312" w:hAnsi="宋体" w:eastAsia="仿宋_GB2312" w:cs="宋体"/>
          <w:color w:val="auto"/>
          <w:spacing w:val="-6"/>
          <w:kern w:val="2"/>
          <w:sz w:val="28"/>
          <w:szCs w:val="28"/>
          <w:highlight w:val="none"/>
        </w:rPr>
        <w:t>6.</w:t>
      </w:r>
      <w:r>
        <w:rPr>
          <w:rFonts w:hint="eastAsia" w:ascii="仿宋_GB2312" w:hAnsi="宋体" w:eastAsia="仿宋_GB2312" w:cs="宋体"/>
          <w:color w:val="auto"/>
          <w:spacing w:val="-6"/>
          <w:kern w:val="2"/>
          <w:sz w:val="28"/>
          <w:szCs w:val="28"/>
          <w:highlight w:val="none"/>
          <w:lang w:eastAsia="zh-CN"/>
        </w:rPr>
        <w:t>乙</w:t>
      </w:r>
      <w:r>
        <w:rPr>
          <w:rFonts w:hint="eastAsia" w:ascii="仿宋_GB2312" w:hAnsi="宋体" w:eastAsia="仿宋_GB2312" w:cs="宋体"/>
          <w:color w:val="auto"/>
          <w:spacing w:val="-6"/>
          <w:kern w:val="2"/>
          <w:sz w:val="28"/>
          <w:szCs w:val="28"/>
          <w:highlight w:val="none"/>
        </w:rPr>
        <w:t>方不得从监管账户扣划账户管理费、划款手续费。不得在预售资金监管账户中增加除</w:t>
      </w:r>
      <w:r>
        <w:rPr>
          <w:rFonts w:hint="eastAsia" w:ascii="仿宋_GB2312" w:hAnsi="宋体" w:eastAsia="仿宋_GB2312" w:cs="宋体"/>
          <w:color w:val="auto"/>
          <w:spacing w:val="-6"/>
          <w:kern w:val="2"/>
          <w:sz w:val="28"/>
          <w:szCs w:val="28"/>
          <w:highlight w:val="none"/>
          <w:lang w:eastAsia="zh-CN"/>
        </w:rPr>
        <w:t>丙</w:t>
      </w:r>
      <w:r>
        <w:rPr>
          <w:rFonts w:hint="eastAsia" w:ascii="仿宋_GB2312" w:hAnsi="宋体" w:eastAsia="仿宋_GB2312" w:cs="宋体"/>
          <w:color w:val="auto"/>
          <w:spacing w:val="-6"/>
          <w:kern w:val="2"/>
          <w:sz w:val="28"/>
          <w:szCs w:val="28"/>
          <w:highlight w:val="none"/>
        </w:rPr>
        <w:t>方外的其他预留印鉴。</w:t>
      </w:r>
    </w:p>
    <w:p>
      <w:pPr>
        <w:pStyle w:val="2"/>
        <w:wordWrap/>
        <w:spacing w:before="0" w:beforeAutospacing="0" w:after="0" w:afterAutospacing="0" w:line="540" w:lineRule="exact"/>
        <w:ind w:firstLine="536" w:firstLineChars="200"/>
        <w:jc w:val="both"/>
        <w:rPr>
          <w:rFonts w:ascii="仿宋_GB2312" w:hAnsi="宋体" w:eastAsia="仿宋_GB2312" w:cs="宋体"/>
          <w:color w:val="auto"/>
          <w:spacing w:val="-6"/>
          <w:kern w:val="2"/>
          <w:sz w:val="28"/>
          <w:szCs w:val="28"/>
          <w:highlight w:val="none"/>
        </w:rPr>
      </w:pPr>
      <w:r>
        <w:rPr>
          <w:rFonts w:hint="eastAsia" w:ascii="仿宋_GB2312" w:hAnsi="宋体" w:eastAsia="仿宋_GB2312" w:cs="宋体"/>
          <w:color w:val="auto"/>
          <w:spacing w:val="-6"/>
          <w:kern w:val="2"/>
          <w:sz w:val="28"/>
          <w:szCs w:val="28"/>
          <w:highlight w:val="none"/>
        </w:rPr>
        <w:t>7.有关部门对新建商品房预售资金监管账户进行冻结和扣划时，</w:t>
      </w:r>
      <w:r>
        <w:rPr>
          <w:rFonts w:hint="eastAsia" w:ascii="仿宋_GB2312" w:hAnsi="宋体" w:eastAsia="仿宋_GB2312" w:cs="宋体"/>
          <w:color w:val="auto"/>
          <w:spacing w:val="-6"/>
          <w:kern w:val="2"/>
          <w:sz w:val="28"/>
          <w:szCs w:val="28"/>
          <w:highlight w:val="none"/>
          <w:lang w:eastAsia="zh-CN"/>
        </w:rPr>
        <w:t>乙</w:t>
      </w:r>
      <w:r>
        <w:rPr>
          <w:rFonts w:hint="eastAsia" w:ascii="仿宋_GB2312" w:hAnsi="宋体" w:eastAsia="仿宋_GB2312" w:cs="宋体"/>
          <w:color w:val="auto"/>
          <w:spacing w:val="-6"/>
          <w:kern w:val="2"/>
          <w:sz w:val="28"/>
          <w:szCs w:val="28"/>
          <w:highlight w:val="none"/>
        </w:rPr>
        <w:t>方应当向有关部门说明新建商品房预售资金及监管账户的性质，并及时在资金监管系统进行登记录入。监管账户资金存在扣划的，</w:t>
      </w:r>
      <w:r>
        <w:rPr>
          <w:rFonts w:hint="eastAsia" w:ascii="仿宋_GB2312" w:hAnsi="宋体" w:eastAsia="仿宋_GB2312" w:cs="宋体"/>
          <w:color w:val="auto"/>
          <w:spacing w:val="-6"/>
          <w:kern w:val="2"/>
          <w:sz w:val="28"/>
          <w:szCs w:val="28"/>
          <w:highlight w:val="none"/>
          <w:lang w:eastAsia="zh-CN"/>
        </w:rPr>
        <w:t>丙</w:t>
      </w:r>
      <w:r>
        <w:rPr>
          <w:rFonts w:hint="eastAsia" w:ascii="仿宋_GB2312" w:hAnsi="宋体" w:eastAsia="仿宋_GB2312" w:cs="宋体"/>
          <w:color w:val="auto"/>
          <w:spacing w:val="-6"/>
          <w:kern w:val="2"/>
          <w:sz w:val="28"/>
          <w:szCs w:val="28"/>
          <w:highlight w:val="none"/>
        </w:rPr>
        <w:t>方应当补足扣划金额。</w:t>
      </w:r>
    </w:p>
    <w:p>
      <w:pPr>
        <w:spacing w:line="540" w:lineRule="exact"/>
        <w:ind w:firstLine="560"/>
        <w:jc w:val="left"/>
        <w:rPr>
          <w:rFonts w:ascii="仿宋_GB2312" w:hAnsi="宋体" w:cs="宋体"/>
          <w:color w:val="auto"/>
          <w:sz w:val="28"/>
          <w:szCs w:val="28"/>
          <w:highlight w:val="none"/>
        </w:rPr>
      </w:pPr>
      <w:r>
        <w:rPr>
          <w:rFonts w:hint="eastAsia" w:ascii="仿宋_GB2312" w:hAnsi="宋体" w:cs="宋体"/>
          <w:color w:val="auto"/>
          <w:sz w:val="28"/>
          <w:szCs w:val="28"/>
          <w:highlight w:val="none"/>
        </w:rPr>
        <w:t>8.当监管账户资金被人民法院冻结后，</w:t>
      </w:r>
      <w:r>
        <w:rPr>
          <w:rFonts w:hint="eastAsia" w:ascii="仿宋_GB2312" w:hAnsi="宋体" w:cs="宋体"/>
          <w:color w:val="auto"/>
          <w:sz w:val="28"/>
          <w:szCs w:val="28"/>
          <w:highlight w:val="none"/>
          <w:lang w:eastAsia="zh-CN"/>
        </w:rPr>
        <w:t>丙</w:t>
      </w:r>
      <w:r>
        <w:rPr>
          <w:rFonts w:hint="eastAsia" w:ascii="仿宋_GB2312" w:hAnsi="宋体" w:cs="宋体"/>
          <w:color w:val="auto"/>
          <w:sz w:val="28"/>
          <w:szCs w:val="28"/>
          <w:highlight w:val="none"/>
        </w:rPr>
        <w:t>方确需用监管额度内资金支付建筑材料、设备和施工进度款的，</w:t>
      </w:r>
      <w:r>
        <w:rPr>
          <w:rFonts w:hint="eastAsia" w:ascii="仿宋_GB2312" w:hAnsi="宋体" w:cs="宋体"/>
          <w:color w:val="auto"/>
          <w:sz w:val="28"/>
          <w:szCs w:val="28"/>
          <w:highlight w:val="none"/>
          <w:lang w:eastAsia="zh-CN"/>
        </w:rPr>
        <w:t>甲</w:t>
      </w:r>
      <w:r>
        <w:rPr>
          <w:rFonts w:hint="eastAsia" w:ascii="仿宋_GB2312" w:hAnsi="宋体" w:cs="宋体"/>
          <w:color w:val="auto"/>
          <w:sz w:val="28"/>
          <w:szCs w:val="28"/>
          <w:highlight w:val="none"/>
        </w:rPr>
        <w:t>方应当严格审核。</w:t>
      </w:r>
      <w:r>
        <w:rPr>
          <w:rFonts w:hint="eastAsia" w:ascii="仿宋_GB2312" w:hAnsi="宋体" w:cs="宋体"/>
          <w:color w:val="auto"/>
          <w:sz w:val="28"/>
          <w:szCs w:val="28"/>
          <w:highlight w:val="none"/>
          <w:lang w:eastAsia="zh-CN"/>
        </w:rPr>
        <w:t>乙</w:t>
      </w:r>
      <w:r>
        <w:rPr>
          <w:rFonts w:hint="eastAsia" w:ascii="仿宋_GB2312" w:hAnsi="宋体" w:cs="宋体"/>
          <w:color w:val="auto"/>
          <w:sz w:val="28"/>
          <w:szCs w:val="28"/>
          <w:highlight w:val="none"/>
        </w:rPr>
        <w:t>方根据</w:t>
      </w:r>
      <w:r>
        <w:rPr>
          <w:rFonts w:hint="eastAsia" w:ascii="仿宋_GB2312" w:hAnsi="宋体" w:cs="宋体"/>
          <w:color w:val="auto"/>
          <w:sz w:val="28"/>
          <w:szCs w:val="28"/>
          <w:highlight w:val="none"/>
          <w:lang w:eastAsia="zh-CN"/>
        </w:rPr>
        <w:t>甲</w:t>
      </w:r>
      <w:r>
        <w:rPr>
          <w:rFonts w:hint="eastAsia" w:ascii="仿宋_GB2312" w:hAnsi="宋体" w:cs="宋体"/>
          <w:color w:val="auto"/>
          <w:sz w:val="28"/>
          <w:szCs w:val="28"/>
          <w:highlight w:val="none"/>
        </w:rPr>
        <w:t>方的拨付指令及时将资金拨付至指定账户，并将付款情况向人民法院报告。执行《最高人民法院 住房和城乡建设部 中国人民银行关于规范人民法院保全执行措施确保商品房预售资金用于项目建设的通知》（法</w:t>
      </w:r>
      <w:r>
        <w:rPr>
          <w:rFonts w:ascii="仿宋_GB2312" w:hAnsi="宋体" w:cs="宋体"/>
          <w:color w:val="auto"/>
          <w:sz w:val="28"/>
          <w:szCs w:val="28"/>
          <w:highlight w:val="none"/>
        </w:rPr>
        <w:t>〔2022〕</w:t>
      </w:r>
      <w:r>
        <w:rPr>
          <w:rFonts w:hint="eastAsia" w:ascii="仿宋_GB2312" w:hAnsi="宋体" w:cs="宋体"/>
          <w:color w:val="auto"/>
          <w:sz w:val="28"/>
          <w:szCs w:val="28"/>
          <w:highlight w:val="none"/>
        </w:rPr>
        <w:t>12</w:t>
      </w:r>
      <w:r>
        <w:rPr>
          <w:rFonts w:ascii="仿宋_GB2312" w:hAnsi="宋体" w:cs="宋体"/>
          <w:color w:val="auto"/>
          <w:sz w:val="28"/>
          <w:szCs w:val="28"/>
          <w:highlight w:val="none"/>
        </w:rPr>
        <w:t>号</w:t>
      </w:r>
      <w:r>
        <w:rPr>
          <w:rFonts w:hint="eastAsia" w:ascii="仿宋_GB2312" w:hAnsi="宋体" w:cs="宋体"/>
          <w:color w:val="auto"/>
          <w:sz w:val="28"/>
          <w:szCs w:val="28"/>
          <w:highlight w:val="none"/>
        </w:rPr>
        <w:t>）有关规定。</w:t>
      </w:r>
    </w:p>
    <w:p>
      <w:pPr>
        <w:spacing w:line="540" w:lineRule="exact"/>
        <w:ind w:firstLine="536"/>
        <w:jc w:val="left"/>
        <w:rPr>
          <w:rFonts w:ascii="仿宋_GB2312" w:hAnsi="宋体" w:cs="宋体"/>
          <w:color w:val="auto"/>
          <w:sz w:val="28"/>
          <w:szCs w:val="28"/>
          <w:highlight w:val="none"/>
        </w:rPr>
      </w:pPr>
      <w:r>
        <w:rPr>
          <w:rFonts w:hint="eastAsia" w:ascii="仿宋_GB2312" w:hAnsi="宋体" w:cs="宋体"/>
          <w:color w:val="auto"/>
          <w:sz w:val="28"/>
          <w:szCs w:val="28"/>
          <w:highlight w:val="none"/>
        </w:rPr>
        <w:t>9.</w:t>
      </w:r>
      <w:r>
        <w:rPr>
          <w:rFonts w:hint="eastAsia" w:ascii="仿宋_GB2312" w:hAnsi="宋体" w:cs="宋体"/>
          <w:color w:val="auto"/>
          <w:sz w:val="28"/>
          <w:szCs w:val="28"/>
          <w:highlight w:val="none"/>
          <w:lang w:eastAsia="zh-CN"/>
        </w:rPr>
        <w:t>丙</w:t>
      </w:r>
      <w:r>
        <w:rPr>
          <w:rFonts w:hint="eastAsia" w:ascii="仿宋_GB2312" w:hAnsi="宋体" w:cs="宋体"/>
          <w:color w:val="auto"/>
          <w:sz w:val="28"/>
          <w:szCs w:val="28"/>
          <w:highlight w:val="none"/>
        </w:rPr>
        <w:t>方应当保证填报的监管额度、提供的相关资料真实准确，</w:t>
      </w:r>
      <w:r>
        <w:rPr>
          <w:rFonts w:hint="eastAsia" w:ascii="仿宋_GB2312" w:hAnsi="宋体" w:cs="宋体"/>
          <w:color w:val="auto"/>
          <w:sz w:val="28"/>
          <w:szCs w:val="28"/>
          <w:highlight w:val="none"/>
          <w:lang w:eastAsia="zh-CN"/>
        </w:rPr>
        <w:t>甲方</w:t>
      </w:r>
      <w:r>
        <w:rPr>
          <w:rFonts w:hint="eastAsia" w:ascii="仿宋_GB2312" w:hAnsi="宋体" w:cs="宋体"/>
          <w:color w:val="auto"/>
          <w:sz w:val="28"/>
          <w:szCs w:val="28"/>
          <w:highlight w:val="none"/>
        </w:rPr>
        <w:t>仅对</w:t>
      </w:r>
      <w:r>
        <w:rPr>
          <w:rFonts w:hint="eastAsia" w:ascii="仿宋_GB2312" w:hAnsi="宋体" w:cs="宋体"/>
          <w:color w:val="auto"/>
          <w:sz w:val="28"/>
          <w:szCs w:val="28"/>
          <w:highlight w:val="none"/>
          <w:lang w:eastAsia="zh-CN"/>
        </w:rPr>
        <w:t>丙</w:t>
      </w:r>
      <w:r>
        <w:rPr>
          <w:rFonts w:hint="eastAsia" w:ascii="仿宋_GB2312" w:hAnsi="宋体" w:cs="宋体"/>
          <w:color w:val="auto"/>
          <w:sz w:val="28"/>
          <w:szCs w:val="28"/>
          <w:highlight w:val="none"/>
        </w:rPr>
        <w:t>方提供资料进行形式审核。由于</w:t>
      </w:r>
      <w:r>
        <w:rPr>
          <w:rFonts w:hint="eastAsia" w:ascii="仿宋_GB2312" w:hAnsi="宋体" w:cs="宋体"/>
          <w:color w:val="auto"/>
          <w:sz w:val="28"/>
          <w:szCs w:val="28"/>
          <w:highlight w:val="none"/>
          <w:lang w:eastAsia="zh-CN"/>
        </w:rPr>
        <w:t>丙</w:t>
      </w:r>
      <w:r>
        <w:rPr>
          <w:rFonts w:hint="eastAsia" w:ascii="仿宋_GB2312" w:hAnsi="宋体" w:cs="宋体"/>
          <w:color w:val="auto"/>
          <w:sz w:val="28"/>
          <w:szCs w:val="28"/>
          <w:highlight w:val="none"/>
        </w:rPr>
        <w:t>方填报监管额度不准确、提供资料不真实造成建设资金不足、拨付资金错误或延误的，</w:t>
      </w:r>
      <w:r>
        <w:rPr>
          <w:rFonts w:hint="eastAsia" w:ascii="仿宋_GB2312" w:hAnsi="宋体" w:cs="宋体"/>
          <w:color w:val="auto"/>
          <w:sz w:val="28"/>
          <w:szCs w:val="28"/>
          <w:highlight w:val="none"/>
          <w:lang w:eastAsia="zh-CN"/>
        </w:rPr>
        <w:t>丙</w:t>
      </w:r>
      <w:r>
        <w:rPr>
          <w:rFonts w:hint="eastAsia" w:ascii="仿宋_GB2312" w:hAnsi="宋体" w:cs="宋体"/>
          <w:color w:val="auto"/>
          <w:sz w:val="28"/>
          <w:szCs w:val="28"/>
          <w:highlight w:val="none"/>
        </w:rPr>
        <w:t>方应当承担相关法律和经济责任。</w:t>
      </w:r>
    </w:p>
    <w:p>
      <w:pPr>
        <w:tabs>
          <w:tab w:val="left" w:pos="3270"/>
        </w:tabs>
        <w:spacing w:line="540" w:lineRule="exact"/>
        <w:ind w:firstLine="578" w:firstLineChars="216"/>
        <w:jc w:val="left"/>
        <w:rPr>
          <w:rFonts w:ascii="黑体" w:hAnsi="宋体" w:eastAsia="黑体" w:cs="黑体"/>
          <w:color w:val="auto"/>
          <w:sz w:val="28"/>
          <w:szCs w:val="28"/>
          <w:highlight w:val="none"/>
        </w:rPr>
      </w:pPr>
      <w:r>
        <w:rPr>
          <w:rFonts w:hint="eastAsia" w:ascii="黑体" w:hAnsi="宋体" w:eastAsia="黑体" w:cs="黑体"/>
          <w:color w:val="auto"/>
          <w:sz w:val="28"/>
          <w:szCs w:val="28"/>
          <w:highlight w:val="none"/>
        </w:rPr>
        <w:t>五、争议解决方式</w:t>
      </w:r>
    </w:p>
    <w:p>
      <w:pPr>
        <w:spacing w:line="540" w:lineRule="exact"/>
        <w:ind w:firstLine="536"/>
        <w:jc w:val="left"/>
        <w:rPr>
          <w:rFonts w:ascii="仿宋_GB2312" w:hAnsi="宋体" w:cs="宋体"/>
          <w:color w:val="auto"/>
          <w:sz w:val="28"/>
          <w:szCs w:val="28"/>
          <w:highlight w:val="none"/>
        </w:rPr>
      </w:pPr>
      <w:r>
        <w:rPr>
          <w:rFonts w:hint="eastAsia" w:ascii="仿宋_GB2312" w:hAnsi="宋体" w:cs="宋体"/>
          <w:color w:val="auto"/>
          <w:sz w:val="28"/>
          <w:szCs w:val="28"/>
          <w:highlight w:val="none"/>
        </w:rPr>
        <w:t>本协议在履行过程中发生争议的，由当事人</w:t>
      </w:r>
      <w:r>
        <w:rPr>
          <w:rFonts w:hint="eastAsia" w:ascii="仿宋_GB2312" w:hAnsi="宋体" w:cs="宋体"/>
          <w:color w:val="auto"/>
          <w:sz w:val="28"/>
          <w:szCs w:val="28"/>
          <w:highlight w:val="none"/>
          <w:lang w:eastAsia="zh-CN"/>
        </w:rPr>
        <w:t>三</w:t>
      </w:r>
      <w:r>
        <w:rPr>
          <w:rFonts w:hint="eastAsia" w:ascii="仿宋_GB2312" w:hAnsi="宋体" w:cs="宋体"/>
          <w:color w:val="auto"/>
          <w:sz w:val="28"/>
          <w:szCs w:val="28"/>
          <w:highlight w:val="none"/>
        </w:rPr>
        <w:t>方协商解决；协商不成的，可向甲方所在地的人民法院提起诉讼。</w:t>
      </w:r>
    </w:p>
    <w:p>
      <w:pPr>
        <w:tabs>
          <w:tab w:val="left" w:pos="3270"/>
        </w:tabs>
        <w:spacing w:line="540" w:lineRule="exact"/>
        <w:ind w:firstLine="578" w:firstLineChars="216"/>
        <w:jc w:val="left"/>
        <w:rPr>
          <w:rFonts w:ascii="黑体" w:hAnsi="宋体" w:eastAsia="黑体" w:cs="黑体"/>
          <w:color w:val="auto"/>
          <w:sz w:val="28"/>
          <w:szCs w:val="28"/>
          <w:highlight w:val="none"/>
        </w:rPr>
      </w:pPr>
      <w:r>
        <w:rPr>
          <w:rFonts w:hint="eastAsia" w:ascii="黑体" w:hAnsi="宋体" w:eastAsia="黑体" w:cs="黑体"/>
          <w:color w:val="auto"/>
          <w:sz w:val="28"/>
          <w:szCs w:val="28"/>
          <w:highlight w:val="none"/>
        </w:rPr>
        <w:t>六、补充事项</w:t>
      </w:r>
    </w:p>
    <w:p>
      <w:pPr>
        <w:spacing w:line="540" w:lineRule="exact"/>
        <w:ind w:firstLine="536"/>
        <w:jc w:val="left"/>
        <w:rPr>
          <w:rFonts w:ascii="仿宋_GB2312" w:hAnsi="宋体" w:cs="宋体"/>
          <w:color w:val="auto"/>
          <w:sz w:val="28"/>
          <w:szCs w:val="28"/>
          <w:highlight w:val="none"/>
        </w:rPr>
      </w:pPr>
      <w:r>
        <w:rPr>
          <w:rFonts w:hint="eastAsia" w:ascii="仿宋_GB2312" w:hAnsi="宋体" w:cs="宋体"/>
          <w:color w:val="auto"/>
          <w:sz w:val="28"/>
          <w:szCs w:val="28"/>
          <w:highlight w:val="none"/>
        </w:rPr>
        <w:t>本协议未尽事宜，协议</w:t>
      </w:r>
      <w:r>
        <w:rPr>
          <w:rFonts w:hint="eastAsia" w:ascii="仿宋_GB2312" w:hAnsi="宋体" w:cs="宋体"/>
          <w:color w:val="auto"/>
          <w:sz w:val="28"/>
          <w:szCs w:val="28"/>
          <w:highlight w:val="none"/>
          <w:lang w:eastAsia="zh-CN"/>
        </w:rPr>
        <w:t>三</w:t>
      </w:r>
      <w:r>
        <w:rPr>
          <w:rFonts w:hint="eastAsia" w:ascii="仿宋_GB2312" w:hAnsi="宋体" w:cs="宋体"/>
          <w:color w:val="auto"/>
          <w:sz w:val="28"/>
          <w:szCs w:val="28"/>
          <w:highlight w:val="none"/>
        </w:rPr>
        <w:t>方可签订补充协议，补充协议不得对本协议条款做实质性修改。补充协议与本协议具有同等法律效力。</w:t>
      </w:r>
    </w:p>
    <w:p>
      <w:pPr>
        <w:spacing w:line="540" w:lineRule="exact"/>
        <w:ind w:firstLine="536"/>
        <w:jc w:val="left"/>
        <w:rPr>
          <w:rFonts w:ascii="仿宋_GB2312" w:hAnsi="宋体" w:cs="宋体"/>
          <w:color w:val="auto"/>
          <w:sz w:val="28"/>
          <w:szCs w:val="28"/>
          <w:highlight w:val="none"/>
        </w:rPr>
      </w:pPr>
      <w:r>
        <w:rPr>
          <w:rFonts w:hint="eastAsia" w:ascii="仿宋_GB2312" w:hAnsi="宋体" w:cs="宋体"/>
          <w:color w:val="auto"/>
          <w:sz w:val="28"/>
          <w:szCs w:val="28"/>
          <w:highlight w:val="none"/>
        </w:rPr>
        <w:t>本协议自</w:t>
      </w:r>
      <w:r>
        <w:rPr>
          <w:rFonts w:hint="eastAsia" w:ascii="仿宋_GB2312" w:hAnsi="宋体" w:cs="宋体"/>
          <w:color w:val="auto"/>
          <w:sz w:val="28"/>
          <w:szCs w:val="28"/>
          <w:highlight w:val="none"/>
          <w:lang w:eastAsia="zh-CN"/>
        </w:rPr>
        <w:t>三</w:t>
      </w:r>
      <w:r>
        <w:rPr>
          <w:rFonts w:hint="eastAsia" w:ascii="仿宋_GB2312" w:hAnsi="宋体" w:cs="宋体"/>
          <w:color w:val="auto"/>
          <w:sz w:val="28"/>
          <w:szCs w:val="28"/>
          <w:highlight w:val="none"/>
        </w:rPr>
        <w:t>方法定代表人或授权委托人签章并加盖公章之日起生效，一式</w:t>
      </w:r>
      <w:r>
        <w:rPr>
          <w:rFonts w:hint="eastAsia" w:ascii="仿宋_GB2312" w:hAnsi="宋体" w:cs="宋体"/>
          <w:color w:val="auto"/>
          <w:sz w:val="28"/>
          <w:szCs w:val="28"/>
          <w:highlight w:val="none"/>
          <w:lang w:eastAsia="zh-CN"/>
        </w:rPr>
        <w:t>三</w:t>
      </w:r>
      <w:r>
        <w:rPr>
          <w:rFonts w:hint="eastAsia" w:ascii="仿宋_GB2312" w:hAnsi="宋体" w:cs="宋体"/>
          <w:color w:val="auto"/>
          <w:sz w:val="28"/>
          <w:szCs w:val="28"/>
          <w:highlight w:val="none"/>
        </w:rPr>
        <w:t>份，</w:t>
      </w:r>
      <w:r>
        <w:rPr>
          <w:rFonts w:hint="eastAsia" w:ascii="仿宋_GB2312" w:hAnsi="宋体" w:cs="宋体"/>
          <w:color w:val="auto"/>
          <w:sz w:val="28"/>
          <w:szCs w:val="28"/>
          <w:highlight w:val="none"/>
          <w:lang w:eastAsia="zh-CN"/>
        </w:rPr>
        <w:t>三</w:t>
      </w:r>
      <w:r>
        <w:rPr>
          <w:rFonts w:hint="eastAsia" w:ascii="仿宋_GB2312" w:hAnsi="宋体" w:cs="宋体"/>
          <w:color w:val="auto"/>
          <w:sz w:val="28"/>
          <w:szCs w:val="28"/>
          <w:highlight w:val="none"/>
        </w:rPr>
        <w:t>方各执一份，具有同等法律效力。</w:t>
      </w:r>
    </w:p>
    <w:p>
      <w:pPr>
        <w:tabs>
          <w:tab w:val="left" w:pos="3270"/>
        </w:tabs>
        <w:spacing w:line="540" w:lineRule="exact"/>
        <w:ind w:firstLine="578" w:firstLineChars="216"/>
        <w:jc w:val="left"/>
        <w:rPr>
          <w:rFonts w:ascii="黑体" w:hAnsi="宋体" w:eastAsia="黑体" w:cs="黑体"/>
          <w:color w:val="auto"/>
          <w:sz w:val="28"/>
          <w:szCs w:val="28"/>
          <w:highlight w:val="none"/>
        </w:rPr>
      </w:pPr>
      <w:r>
        <w:rPr>
          <w:rFonts w:hint="eastAsia" w:ascii="黑体" w:hAnsi="宋体" w:eastAsia="黑体" w:cs="黑体"/>
          <w:color w:val="auto"/>
          <w:sz w:val="28"/>
          <w:szCs w:val="28"/>
          <w:highlight w:val="none"/>
        </w:rPr>
        <w:t>七、协议的终止</w:t>
      </w:r>
    </w:p>
    <w:p>
      <w:pPr>
        <w:spacing w:line="540" w:lineRule="exact"/>
        <w:ind w:firstLine="536"/>
        <w:jc w:val="left"/>
        <w:rPr>
          <w:rFonts w:ascii="宋体" w:hAnsi="宋体" w:cs="宋体"/>
          <w:color w:val="auto"/>
          <w:sz w:val="28"/>
          <w:szCs w:val="28"/>
          <w:highlight w:val="none"/>
        </w:rPr>
      </w:pPr>
      <w:r>
        <w:rPr>
          <w:rFonts w:hint="eastAsia" w:ascii="仿宋_GB2312" w:hAnsi="宋体" w:cs="宋体"/>
          <w:color w:val="auto"/>
          <w:sz w:val="28"/>
          <w:szCs w:val="28"/>
          <w:highlight w:val="none"/>
        </w:rPr>
        <w:t>本协议项下监管项目完成不动产首次登记后，</w:t>
      </w:r>
      <w:r>
        <w:rPr>
          <w:rFonts w:hint="eastAsia" w:ascii="仿宋_GB2312" w:hAnsi="宋体" w:cs="宋体"/>
          <w:color w:val="auto"/>
          <w:sz w:val="28"/>
          <w:szCs w:val="28"/>
          <w:highlight w:val="none"/>
          <w:lang w:eastAsia="zh-CN"/>
        </w:rPr>
        <w:t>丙</w:t>
      </w:r>
      <w:r>
        <w:rPr>
          <w:rFonts w:hint="eastAsia" w:ascii="仿宋_GB2312" w:hAnsi="宋体" w:cs="宋体"/>
          <w:color w:val="auto"/>
          <w:sz w:val="28"/>
          <w:szCs w:val="28"/>
          <w:highlight w:val="none"/>
        </w:rPr>
        <w:t>方可向甲方申请解除该账户资金监管。解除监管或账户注销后，本协议自动终止。</w:t>
      </w:r>
    </w:p>
    <w:p>
      <w:pPr>
        <w:spacing w:line="540" w:lineRule="exact"/>
        <w:ind w:left="0" w:leftChars="0" w:firstLine="0" w:firstLineChars="0"/>
        <w:jc w:val="left"/>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甲   方（</w:t>
      </w:r>
      <w:r>
        <w:rPr>
          <w:rFonts w:hint="eastAsia" w:ascii="楷体_GB2312" w:hAnsi="楷体_GB2312" w:eastAsia="楷体_GB2312" w:cs="楷体_GB2312"/>
          <w:color w:val="auto"/>
          <w:sz w:val="28"/>
          <w:szCs w:val="28"/>
          <w:highlight w:val="none"/>
          <w:lang w:val="en-US" w:eastAsia="zh-CN"/>
        </w:rPr>
        <w:t>公</w:t>
      </w:r>
      <w:r>
        <w:rPr>
          <w:rFonts w:hint="eastAsia" w:ascii="楷体_GB2312" w:hAnsi="楷体_GB2312" w:eastAsia="楷体_GB2312" w:cs="楷体_GB2312"/>
          <w:color w:val="auto"/>
          <w:sz w:val="28"/>
          <w:szCs w:val="28"/>
          <w:highlight w:val="none"/>
        </w:rPr>
        <w:t xml:space="preserve">章）：  </w:t>
      </w:r>
      <w:r>
        <w:rPr>
          <w:rFonts w:hint="eastAsia" w:ascii="楷体_GB2312" w:hAnsi="楷体_GB2312" w:eastAsia="楷体_GB2312" w:cs="楷体_GB2312"/>
          <w:color w:val="auto"/>
          <w:sz w:val="28"/>
          <w:szCs w:val="28"/>
          <w:highlight w:val="none"/>
          <w:lang w:val="en-US" w:eastAsia="zh-CN"/>
        </w:rPr>
        <w:t xml:space="preserve"> </w:t>
      </w:r>
      <w:r>
        <w:rPr>
          <w:rFonts w:hint="eastAsia" w:ascii="楷体_GB2312" w:hAnsi="楷体_GB2312" w:eastAsia="楷体_GB2312" w:cs="楷体_GB2312"/>
          <w:color w:val="auto"/>
          <w:sz w:val="28"/>
          <w:szCs w:val="28"/>
          <w:highlight w:val="none"/>
        </w:rPr>
        <w:t xml:space="preserve"> </w:t>
      </w:r>
      <w:r>
        <w:rPr>
          <w:rFonts w:hint="eastAsia" w:ascii="楷体_GB2312" w:hAnsi="楷体_GB2312" w:eastAsia="楷体_GB2312" w:cs="楷体_GB2312"/>
          <w:color w:val="auto"/>
          <w:sz w:val="28"/>
          <w:szCs w:val="28"/>
          <w:highlight w:val="none"/>
          <w:lang w:eastAsia="zh-CN"/>
        </w:rPr>
        <w:t>乙</w:t>
      </w:r>
      <w:r>
        <w:rPr>
          <w:rFonts w:hint="eastAsia" w:ascii="楷体_GB2312" w:hAnsi="楷体_GB2312" w:eastAsia="楷体_GB2312" w:cs="楷体_GB2312"/>
          <w:color w:val="auto"/>
          <w:sz w:val="28"/>
          <w:szCs w:val="28"/>
          <w:highlight w:val="none"/>
        </w:rPr>
        <w:t xml:space="preserve">   方（</w:t>
      </w:r>
      <w:r>
        <w:rPr>
          <w:rFonts w:hint="eastAsia" w:ascii="楷体_GB2312" w:hAnsi="楷体_GB2312" w:eastAsia="楷体_GB2312" w:cs="楷体_GB2312"/>
          <w:color w:val="auto"/>
          <w:sz w:val="28"/>
          <w:szCs w:val="28"/>
          <w:highlight w:val="none"/>
          <w:lang w:val="en-US" w:eastAsia="zh-CN"/>
        </w:rPr>
        <w:t>公</w:t>
      </w:r>
      <w:r>
        <w:rPr>
          <w:rFonts w:hint="eastAsia" w:ascii="楷体_GB2312" w:hAnsi="楷体_GB2312" w:eastAsia="楷体_GB2312" w:cs="楷体_GB2312"/>
          <w:color w:val="auto"/>
          <w:sz w:val="28"/>
          <w:szCs w:val="28"/>
          <w:highlight w:val="none"/>
        </w:rPr>
        <w:t>章）：</w:t>
      </w:r>
      <w:r>
        <w:rPr>
          <w:rFonts w:hint="eastAsia" w:ascii="楷体_GB2312" w:hAnsi="楷体_GB2312" w:eastAsia="楷体_GB2312" w:cs="楷体_GB2312"/>
          <w:color w:val="auto"/>
          <w:sz w:val="28"/>
          <w:szCs w:val="28"/>
          <w:highlight w:val="none"/>
          <w:lang w:val="en-US" w:eastAsia="zh-CN"/>
        </w:rPr>
        <w:t xml:space="preserve">    </w:t>
      </w:r>
      <w:r>
        <w:rPr>
          <w:rFonts w:hint="eastAsia" w:ascii="楷体_GB2312" w:hAnsi="楷体_GB2312" w:eastAsia="楷体_GB2312" w:cs="楷体_GB2312"/>
          <w:color w:val="auto"/>
          <w:sz w:val="28"/>
          <w:szCs w:val="28"/>
          <w:highlight w:val="none"/>
        </w:rPr>
        <w:t xml:space="preserve"> </w:t>
      </w:r>
      <w:r>
        <w:rPr>
          <w:rFonts w:hint="eastAsia" w:ascii="楷体_GB2312" w:hAnsi="楷体_GB2312" w:eastAsia="楷体_GB2312" w:cs="楷体_GB2312"/>
          <w:color w:val="auto"/>
          <w:sz w:val="28"/>
          <w:szCs w:val="28"/>
          <w:highlight w:val="none"/>
          <w:lang w:eastAsia="zh-CN"/>
        </w:rPr>
        <w:t>丙</w:t>
      </w:r>
      <w:r>
        <w:rPr>
          <w:rFonts w:hint="eastAsia" w:ascii="楷体_GB2312" w:hAnsi="楷体_GB2312" w:eastAsia="楷体_GB2312" w:cs="楷体_GB2312"/>
          <w:color w:val="auto"/>
          <w:sz w:val="28"/>
          <w:szCs w:val="28"/>
          <w:highlight w:val="none"/>
        </w:rPr>
        <w:t xml:space="preserve">   方（</w:t>
      </w:r>
      <w:r>
        <w:rPr>
          <w:rFonts w:hint="eastAsia" w:ascii="楷体_GB2312" w:hAnsi="楷体_GB2312" w:eastAsia="楷体_GB2312" w:cs="楷体_GB2312"/>
          <w:color w:val="auto"/>
          <w:sz w:val="28"/>
          <w:szCs w:val="28"/>
          <w:highlight w:val="none"/>
          <w:lang w:val="en-US" w:eastAsia="zh-CN"/>
        </w:rPr>
        <w:t>公</w:t>
      </w:r>
      <w:r>
        <w:rPr>
          <w:rFonts w:hint="eastAsia" w:ascii="楷体_GB2312" w:hAnsi="楷体_GB2312" w:eastAsia="楷体_GB2312" w:cs="楷体_GB2312"/>
          <w:color w:val="auto"/>
          <w:sz w:val="28"/>
          <w:szCs w:val="28"/>
          <w:highlight w:val="none"/>
        </w:rPr>
        <w:t>章）：</w:t>
      </w:r>
    </w:p>
    <w:p>
      <w:pPr>
        <w:spacing w:line="540" w:lineRule="exact"/>
        <w:ind w:left="0" w:leftChars="0" w:firstLine="0" w:firstLineChars="0"/>
        <w:jc w:val="left"/>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 xml:space="preserve">法 定 代 表 人： </w:t>
      </w:r>
      <w:r>
        <w:rPr>
          <w:rFonts w:hint="eastAsia" w:ascii="楷体_GB2312" w:hAnsi="楷体_GB2312" w:eastAsia="楷体_GB2312" w:cs="楷体_GB2312"/>
          <w:color w:val="auto"/>
          <w:sz w:val="28"/>
          <w:szCs w:val="28"/>
          <w:highlight w:val="none"/>
          <w:lang w:val="en-US" w:eastAsia="zh-CN"/>
        </w:rPr>
        <w:t xml:space="preserve"> </w:t>
      </w:r>
      <w:r>
        <w:rPr>
          <w:rFonts w:hint="eastAsia" w:ascii="楷体_GB2312" w:hAnsi="楷体_GB2312" w:eastAsia="楷体_GB2312" w:cs="楷体_GB2312"/>
          <w:color w:val="auto"/>
          <w:sz w:val="28"/>
          <w:szCs w:val="28"/>
          <w:highlight w:val="none"/>
        </w:rPr>
        <w:t xml:space="preserve">  法 定 代 表 人：</w:t>
      </w:r>
      <w:r>
        <w:rPr>
          <w:rFonts w:hint="eastAsia" w:ascii="楷体_GB2312" w:hAnsi="楷体_GB2312" w:eastAsia="楷体_GB2312" w:cs="楷体_GB2312"/>
          <w:color w:val="auto"/>
          <w:sz w:val="28"/>
          <w:szCs w:val="28"/>
          <w:highlight w:val="none"/>
          <w:lang w:val="en-US" w:eastAsia="zh-CN"/>
        </w:rPr>
        <w:t xml:space="preserve">     </w:t>
      </w:r>
      <w:r>
        <w:rPr>
          <w:rFonts w:hint="eastAsia" w:ascii="楷体_GB2312" w:hAnsi="楷体_GB2312" w:eastAsia="楷体_GB2312" w:cs="楷体_GB2312"/>
          <w:color w:val="auto"/>
          <w:sz w:val="28"/>
          <w:szCs w:val="28"/>
          <w:highlight w:val="none"/>
        </w:rPr>
        <w:t>法 定 代 表 人：</w:t>
      </w:r>
    </w:p>
    <w:p>
      <w:pPr>
        <w:spacing w:line="540" w:lineRule="exact"/>
        <w:ind w:left="0" w:leftChars="0" w:firstLine="0" w:firstLineChars="0"/>
        <w:jc w:val="left"/>
        <w:rPr>
          <w:rFonts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 xml:space="preserve">（或授权委托人）： </w:t>
      </w:r>
      <w:r>
        <w:rPr>
          <w:rFonts w:hint="eastAsia" w:ascii="楷体_GB2312" w:hAnsi="楷体_GB2312" w:eastAsia="楷体_GB2312" w:cs="楷体_GB2312"/>
          <w:color w:val="auto"/>
          <w:sz w:val="28"/>
          <w:szCs w:val="28"/>
          <w:highlight w:val="none"/>
          <w:lang w:val="en-US" w:eastAsia="zh-CN"/>
        </w:rPr>
        <w:t xml:space="preserve"> </w:t>
      </w:r>
      <w:bookmarkStart w:id="0" w:name="_GoBack"/>
      <w:bookmarkEnd w:id="0"/>
      <w:r>
        <w:rPr>
          <w:rFonts w:hint="eastAsia" w:ascii="楷体_GB2312" w:hAnsi="楷体_GB2312" w:eastAsia="楷体_GB2312" w:cs="楷体_GB2312"/>
          <w:color w:val="auto"/>
          <w:sz w:val="28"/>
          <w:szCs w:val="28"/>
          <w:highlight w:val="none"/>
        </w:rPr>
        <w:t xml:space="preserve"> （或授权委托人）：</w:t>
      </w:r>
      <w:r>
        <w:rPr>
          <w:rFonts w:hint="eastAsia" w:ascii="楷体_GB2312" w:hAnsi="楷体_GB2312" w:eastAsia="楷体_GB2312" w:cs="楷体_GB2312"/>
          <w:color w:val="auto"/>
          <w:sz w:val="28"/>
          <w:szCs w:val="28"/>
          <w:highlight w:val="none"/>
          <w:lang w:val="en-US" w:eastAsia="zh-CN"/>
        </w:rPr>
        <w:t xml:space="preserve">   </w:t>
      </w:r>
      <w:r>
        <w:rPr>
          <w:rFonts w:hint="eastAsia" w:ascii="楷体_GB2312" w:hAnsi="楷体_GB2312" w:eastAsia="楷体_GB2312" w:cs="楷体_GB2312"/>
          <w:color w:val="auto"/>
          <w:sz w:val="28"/>
          <w:szCs w:val="28"/>
          <w:highlight w:val="none"/>
        </w:rPr>
        <w:t>（或授权委托人）：</w:t>
      </w:r>
    </w:p>
    <w:p>
      <w:pPr>
        <w:spacing w:line="540" w:lineRule="exact"/>
        <w:ind w:firstLine="5628" w:firstLineChars="2100"/>
        <w:rPr>
          <w:color w:val="auto"/>
          <w:spacing w:val="0"/>
          <w:sz w:val="28"/>
          <w:szCs w:val="28"/>
          <w:highlight w:val="none"/>
          <w:shd w:val="clear" w:color="auto" w:fill="FFFFFF"/>
        </w:rPr>
      </w:pPr>
      <w:r>
        <w:rPr>
          <w:rFonts w:hint="eastAsia" w:ascii="楷体_GB2312" w:hAnsi="楷体_GB2312" w:eastAsia="楷体_GB2312" w:cs="楷体_GB2312"/>
          <w:color w:val="auto"/>
          <w:sz w:val="28"/>
          <w:szCs w:val="28"/>
          <w:highlight w:val="none"/>
        </w:rPr>
        <w:t>签 约 日 期：</w:t>
      </w:r>
    </w:p>
    <w:p>
      <w:pPr>
        <w:rPr>
          <w:color w:val="auto"/>
          <w:highlight w:val="none"/>
        </w:rPr>
      </w:pPr>
    </w:p>
    <w:sectPr>
      <w:pgSz w:w="11906" w:h="16838"/>
      <w:pgMar w:top="1440" w:right="141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11FEC"/>
    <w:rsid w:val="025809D5"/>
    <w:rsid w:val="08311FEC"/>
    <w:rsid w:val="1C751DDF"/>
    <w:rsid w:val="1E36395B"/>
    <w:rsid w:val="223E3E8E"/>
    <w:rsid w:val="228C6DC3"/>
    <w:rsid w:val="29FC74A2"/>
    <w:rsid w:val="48A5029F"/>
    <w:rsid w:val="753F45F4"/>
    <w:rsid w:val="77707548"/>
    <w:rsid w:val="7F7E5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1178" w:firstLineChars="200"/>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wordWrap w:val="0"/>
      <w:spacing w:before="100" w:beforeAutospacing="1" w:after="100" w:afterAutospacing="1" w:line="240" w:lineRule="auto"/>
      <w:ind w:firstLine="0" w:firstLineChars="0"/>
      <w:jc w:val="left"/>
    </w:pPr>
    <w:rPr>
      <w:rFonts w:ascii="Arial" w:hAnsi="Arial" w:eastAsia="宋体" w:cs="Arial"/>
      <w:color w:val="000000"/>
      <w:spacing w:val="0"/>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2023-05-18T00:47:00Z</dcterms:created>
  <dc:creator>Administrator</dc:creator>
  <cp:lastModifiedBy>Administrator</cp:lastModifiedBy>
  <cp:lastPrinted>2023-05-18T02:27:00Z</cp:lastPrinted>
  <dcterms:modified xsi:type="dcterms:W3CDTF">2023-05-22T03:05:29Z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