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spacing w:line="240" w:lineRule="auto"/>
        <w:jc w:val="left"/>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kinsoku/>
        <w:wordWrap/>
        <w:overflowPunct/>
        <w:topLinePunct w:val="0"/>
        <w:autoSpaceDE/>
        <w:autoSpaceDN/>
        <w:bidi w:val="0"/>
        <w:spacing w:line="580" w:lineRule="exact"/>
        <w:jc w:val="center"/>
        <w:textAlignment w:val="auto"/>
        <w:rPr>
          <w:rFonts w:hint="eastAsia" w:ascii="方正小标宋简体" w:hAnsi="方正小标宋简体" w:eastAsia="方正小标宋简体" w:cs="方正小标宋简体"/>
          <w:sz w:val="44"/>
          <w:szCs w:val="44"/>
          <w:highlight w:val="none"/>
        </w:rPr>
      </w:pPr>
      <w:bookmarkStart w:id="1" w:name="_GoBack"/>
      <w:r>
        <w:rPr>
          <w:rFonts w:hint="eastAsia" w:ascii="方正小标宋简体" w:hAnsi="方正小标宋简体" w:eastAsia="方正小标宋简体" w:cs="方正小标宋简体"/>
          <w:sz w:val="44"/>
          <w:szCs w:val="44"/>
          <w:highlight w:val="none"/>
        </w:rPr>
        <w:t>天津市滨海新区房屋养老金管理办法（试行）</w:t>
      </w:r>
    </w:p>
    <w:bookmarkEnd w:id="1"/>
    <w:p>
      <w:pPr>
        <w:keepNext w:val="0"/>
        <w:keepLines w:val="0"/>
        <w:pageBreakBefore w:val="0"/>
        <w:kinsoku/>
        <w:wordWrap/>
        <w:overflowPunct/>
        <w:topLinePunct w:val="0"/>
        <w:autoSpaceDE/>
        <w:autoSpaceDN/>
        <w:bidi w:val="0"/>
        <w:spacing w:line="580" w:lineRule="exact"/>
        <w:ind w:firstLine="600" w:firstLineChars="200"/>
        <w:jc w:val="center"/>
        <w:textAlignment w:val="auto"/>
        <w:rPr>
          <w:rFonts w:hint="eastAsia" w:ascii="仿宋_GB2312" w:hAnsi="仿宋_GB2312" w:eastAsia="仿宋_GB2312" w:cs="仿宋_GB2312"/>
          <w:kern w:val="0"/>
          <w:sz w:val="30"/>
          <w:szCs w:val="30"/>
          <w:highlight w:val="none"/>
          <w:lang w:val="en-US" w:eastAsia="zh-CN" w:bidi="ar-SA"/>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黑体" w:hAnsi="黑体" w:eastAsia="黑体" w:cs="楷体"/>
          <w:color w:val="auto"/>
          <w:sz w:val="32"/>
          <w:szCs w:val="32"/>
          <w:highlight w:val="none"/>
          <w:lang w:val="en" w:eastAsia="zh-CN"/>
        </w:rPr>
      </w:pPr>
      <w:r>
        <w:rPr>
          <w:rFonts w:hint="eastAsia" w:ascii="黑体" w:hAnsi="黑体" w:eastAsia="黑体" w:cs="楷体"/>
          <w:color w:val="auto"/>
          <w:sz w:val="32"/>
          <w:szCs w:val="32"/>
          <w:highlight w:val="none"/>
          <w:lang w:val="en" w:eastAsia="zh-CN"/>
        </w:rPr>
        <w:t>目录</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黑体" w:hAnsi="黑体" w:eastAsia="黑体" w:cs="楷体"/>
          <w:color w:val="auto"/>
          <w:sz w:val="32"/>
          <w:szCs w:val="32"/>
          <w:highlight w:val="none"/>
          <w:lang w:val="en" w:eastAsia="zh-CN"/>
        </w:rPr>
      </w:pPr>
    </w:p>
    <w:p>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第一章  总则</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Chars="0" w:right="0" w:rightChars="0" w:firstLine="640" w:firstLineChars="200"/>
        <w:jc w:val="left"/>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第一条【制定依据】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第二条【适用范围】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第三条【管理原则】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第四条【职能分工】</w:t>
      </w:r>
    </w:p>
    <w:p>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第二章  建立与归集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第五条【房屋养老金账户建立】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第六条【房屋养老金资金归集】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第七条【无专项维修资金个人账户补建补交】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第八条【个人账户保障措施】</w:t>
      </w:r>
    </w:p>
    <w:p>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第三章  使用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第九条【公共账户资金的使用范围】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第十条【体检、保险机构选择】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第十一条【体检费用申请流程】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第十二条【保险费用申请流程】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第十三条【个人账户资金的使用】</w:t>
      </w:r>
    </w:p>
    <w:p>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第四章  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第十四条【公共账户资金保值增值】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第十五条【公共账户银行选择】</w:t>
      </w:r>
    </w:p>
    <w:p>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第五章  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第十六条【审计监督】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第十七条【资金监管】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第十八条【法律责任】</w:t>
      </w:r>
    </w:p>
    <w:p>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第六章  附则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第十九条</w:t>
      </w:r>
      <w:r>
        <w:rPr>
          <w:rFonts w:hint="eastAsia" w:ascii="黑体" w:hAnsi="黑体" w:eastAsia="黑体" w:cs="黑体"/>
          <w:b w:val="0"/>
          <w:bCs w:val="0"/>
          <w:color w:val="auto"/>
          <w:sz w:val="32"/>
          <w:szCs w:val="32"/>
          <w:highlight w:val="none"/>
        </w:rPr>
        <w:t>【</w:t>
      </w:r>
      <w:r>
        <w:rPr>
          <w:rFonts w:hint="eastAsia" w:ascii="黑体" w:hAnsi="黑体" w:eastAsia="黑体" w:cs="黑体"/>
          <w:b w:val="0"/>
          <w:bCs w:val="0"/>
          <w:color w:val="auto"/>
          <w:sz w:val="32"/>
          <w:szCs w:val="32"/>
          <w:highlight w:val="none"/>
          <w:lang w:val="en-US" w:eastAsia="zh-CN"/>
        </w:rPr>
        <w:t>补充说明</w:t>
      </w:r>
      <w:r>
        <w:rPr>
          <w:rFonts w:hint="eastAsia" w:ascii="黑体" w:hAnsi="黑体" w:eastAsia="黑体" w:cs="黑体"/>
          <w:b w:val="0"/>
          <w:bCs w:val="0"/>
          <w:color w:val="auto"/>
          <w:sz w:val="32"/>
          <w:szCs w:val="32"/>
          <w:highlight w:val="none"/>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第二十条</w:t>
      </w:r>
      <w:r>
        <w:rPr>
          <w:rFonts w:hint="eastAsia" w:ascii="黑体" w:hAnsi="黑体" w:eastAsia="黑体" w:cs="黑体"/>
          <w:b w:val="0"/>
          <w:bCs w:val="0"/>
          <w:color w:val="auto"/>
          <w:sz w:val="32"/>
          <w:szCs w:val="32"/>
          <w:highlight w:val="none"/>
        </w:rPr>
        <w:t>【</w:t>
      </w:r>
      <w:r>
        <w:rPr>
          <w:rFonts w:hint="eastAsia" w:ascii="黑体" w:hAnsi="黑体" w:eastAsia="黑体" w:cs="黑体"/>
          <w:b w:val="0"/>
          <w:bCs w:val="0"/>
          <w:color w:val="auto"/>
          <w:sz w:val="32"/>
          <w:szCs w:val="32"/>
          <w:highlight w:val="none"/>
          <w:lang w:val="en-US" w:eastAsia="zh-CN"/>
        </w:rPr>
        <w:t>解释权</w:t>
      </w:r>
      <w:r>
        <w:rPr>
          <w:rFonts w:hint="eastAsia" w:ascii="黑体" w:hAnsi="黑体" w:eastAsia="黑体" w:cs="黑体"/>
          <w:b w:val="0"/>
          <w:bCs w:val="0"/>
          <w:color w:val="auto"/>
          <w:sz w:val="32"/>
          <w:szCs w:val="32"/>
          <w:highlight w:val="none"/>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sz w:val="32"/>
          <w:szCs w:val="32"/>
          <w:highlight w:val="none"/>
          <w:lang w:val="en-US" w:eastAsia="zh-CN"/>
        </w:rPr>
        <w:t>第二十一条</w:t>
      </w:r>
      <w:r>
        <w:rPr>
          <w:rFonts w:hint="eastAsia" w:ascii="黑体" w:hAnsi="黑体" w:eastAsia="黑体" w:cs="黑体"/>
          <w:b w:val="0"/>
          <w:bCs w:val="0"/>
          <w:color w:val="auto"/>
          <w:sz w:val="32"/>
          <w:szCs w:val="32"/>
          <w:highlight w:val="none"/>
        </w:rPr>
        <w:t>【实施时间】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2" w:firstLineChars="200"/>
        <w:jc w:val="left"/>
        <w:textAlignment w:val="auto"/>
        <w:rPr>
          <w:rFonts w:hint="eastAsia" w:ascii="仿宋_GB2312" w:hAnsi="仿宋_GB2312" w:eastAsia="仿宋_GB2312" w:cs="仿宋_GB2312"/>
          <w:b/>
          <w:color w:val="auto"/>
          <w:sz w:val="32"/>
          <w:szCs w:val="32"/>
          <w:highlight w:val="none"/>
          <w:lang w:val="en-US" w:eastAsia="zh-CN"/>
        </w:rPr>
      </w:pPr>
    </w:p>
    <w:p>
      <w:pPr>
        <w:keepNext w:val="0"/>
        <w:keepLines w:val="0"/>
        <w:pageBreakBefore w:val="0"/>
        <w:kinsoku/>
        <w:wordWrap/>
        <w:overflowPunct/>
        <w:topLinePunct w:val="0"/>
        <w:autoSpaceDE/>
        <w:autoSpaceDN/>
        <w:bidi w:val="0"/>
        <w:spacing w:line="58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第一章  总则</w:t>
      </w:r>
    </w:p>
    <w:p>
      <w:pPr>
        <w:keepNext w:val="0"/>
        <w:keepLines w:val="0"/>
        <w:pageBreakBefore w:val="0"/>
        <w:kinsoku/>
        <w:wordWrap/>
        <w:overflowPunct/>
        <w:topLinePunct w:val="0"/>
        <w:autoSpaceDE/>
        <w:autoSpaceDN/>
        <w:bidi w:val="0"/>
        <w:spacing w:line="580" w:lineRule="exact"/>
        <w:jc w:val="center"/>
        <w:textAlignment w:val="auto"/>
        <w:rPr>
          <w:rFonts w:hint="eastAsia" w:ascii="黑体" w:hAnsi="黑体" w:eastAsia="黑体" w:cs="黑体"/>
          <w:sz w:val="32"/>
          <w:szCs w:val="32"/>
          <w:highlight w:val="none"/>
        </w:rPr>
      </w:pPr>
    </w:p>
    <w:p>
      <w:pPr>
        <w:pStyle w:val="8"/>
        <w:keepNext w:val="0"/>
        <w:keepLines w:val="0"/>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第一条【</w:t>
      </w:r>
      <w:r>
        <w:rPr>
          <w:rFonts w:hint="eastAsia" w:ascii="黑体" w:hAnsi="黑体" w:eastAsia="黑体" w:cs="黑体"/>
          <w:b w:val="0"/>
          <w:bCs w:val="0"/>
          <w:strike w:val="0"/>
          <w:dstrike w:val="0"/>
          <w:sz w:val="32"/>
          <w:szCs w:val="32"/>
          <w:highlight w:val="none"/>
          <w:lang w:val="en-US" w:eastAsia="zh-CN"/>
        </w:rPr>
        <w:t>制定</w:t>
      </w:r>
      <w:r>
        <w:rPr>
          <w:rFonts w:hint="eastAsia" w:ascii="黑体" w:hAnsi="黑体" w:eastAsia="黑体" w:cs="黑体"/>
          <w:b w:val="0"/>
          <w:bCs w:val="0"/>
          <w:sz w:val="32"/>
          <w:szCs w:val="32"/>
          <w:highlight w:val="none"/>
        </w:rPr>
        <w:t>依据】</w:t>
      </w:r>
    </w:p>
    <w:p>
      <w:pPr>
        <w:pStyle w:val="8"/>
        <w:keepNext w:val="0"/>
        <w:keepLines w:val="0"/>
        <w:pageBreakBefore w:val="0"/>
        <w:widowControl/>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为推动滨海新区房屋养老金制度试点工作，建立健全房屋安全管理长效机制，做好房屋养老金制度所需资金（以下简称房屋养老金）的管理</w:t>
      </w:r>
      <w:r>
        <w:rPr>
          <w:rFonts w:hint="eastAsia" w:ascii="仿宋_GB2312" w:hAnsi="仿宋_GB2312" w:eastAsia="仿宋_GB2312" w:cs="仿宋_GB2312"/>
          <w:sz w:val="32"/>
          <w:szCs w:val="32"/>
          <w:highlight w:val="none"/>
        </w:rPr>
        <w:t>，按照住房城乡建设部《关于同意天津市滨海新区开展房屋养老金制度试点的函》的工作要求，依据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天津市房屋安全使用管理条例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天津市物业管理条例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等法律法规和本市有关规定，结合滨海新区实际，制定本办法</w:t>
      </w:r>
      <w:r>
        <w:rPr>
          <w:rFonts w:hint="eastAsia" w:ascii="仿宋_GB2312" w:hAnsi="仿宋_GB2312" w:eastAsia="仿宋_GB2312" w:cs="仿宋_GB2312"/>
          <w:sz w:val="32"/>
          <w:szCs w:val="32"/>
          <w:highlight w:val="none"/>
          <w:lang w:eastAsia="zh-CN"/>
        </w:rPr>
        <w:t>。</w:t>
      </w:r>
    </w:p>
    <w:p>
      <w:pPr>
        <w:pStyle w:val="8"/>
        <w:keepNext w:val="0"/>
        <w:keepLines w:val="0"/>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第二条【适用范围】</w:t>
      </w:r>
    </w:p>
    <w:p>
      <w:pPr>
        <w:pStyle w:val="8"/>
        <w:keepNext w:val="0"/>
        <w:keepLines w:val="0"/>
        <w:pageBreakBefore w:val="0"/>
        <w:widowControl/>
        <w:kinsoku/>
        <w:wordWrap/>
        <w:overflowPunct/>
        <w:topLinePunct w:val="0"/>
        <w:autoSpaceDE/>
        <w:autoSpaceDN/>
        <w:bidi w:val="0"/>
        <w:spacing w:beforeAutospacing="0" w:afterAutospacing="0"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本办法适用于滨海新区行政区域内</w:t>
      </w:r>
      <w:r>
        <w:rPr>
          <w:rFonts w:hint="eastAsia" w:ascii="仿宋_GB2312" w:hAnsi="仿宋_GB2312" w:eastAsia="仿宋_GB2312" w:cs="仿宋_GB2312"/>
          <w:strike w:val="0"/>
          <w:dstrike w:val="0"/>
          <w:sz w:val="32"/>
          <w:szCs w:val="32"/>
          <w:highlight w:val="none"/>
          <w:lang w:val="en-US" w:eastAsia="zh-CN"/>
        </w:rPr>
        <w:t>城镇</w:t>
      </w:r>
      <w:r>
        <w:rPr>
          <w:rFonts w:hint="eastAsia" w:ascii="仿宋_GB2312" w:hAnsi="仿宋_GB2312" w:eastAsia="仿宋_GB2312" w:cs="仿宋_GB2312"/>
          <w:sz w:val="32"/>
          <w:szCs w:val="32"/>
          <w:highlight w:val="none"/>
          <w:lang w:val="en-US" w:eastAsia="zh-CN"/>
        </w:rPr>
        <w:t>房屋的房屋养老金的建立与归集、使用、管理和监督。</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Chars="0" w:right="0" w:rightChars="0"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本办法所称房屋养老金，是由政府与个人共同</w:t>
      </w:r>
      <w:r>
        <w:rPr>
          <w:rFonts w:hint="eastAsia" w:ascii="仿宋_GB2312" w:hAnsi="仿宋_GB2312" w:eastAsia="仿宋_GB2312" w:cs="仿宋_GB2312"/>
          <w:strike w:val="0"/>
          <w:dstrike w:val="0"/>
          <w:sz w:val="32"/>
          <w:szCs w:val="32"/>
          <w:highlight w:val="none"/>
          <w:lang w:val="en-US" w:eastAsia="zh-CN"/>
        </w:rPr>
        <w:t>筹建</w:t>
      </w:r>
      <w:r>
        <w:rPr>
          <w:rFonts w:hint="eastAsia" w:ascii="仿宋_GB2312" w:hAnsi="仿宋_GB2312" w:eastAsia="仿宋_GB2312" w:cs="仿宋_GB2312"/>
          <w:sz w:val="32"/>
          <w:szCs w:val="32"/>
          <w:highlight w:val="none"/>
          <w:lang w:val="en-US" w:eastAsia="zh-CN"/>
        </w:rPr>
        <w:t>的用于房屋定期体检、房屋安全综合保险及保修期满后的房屋维修和更新、改造的资金，包含公共账户资金和个人账户资金。</w:t>
      </w:r>
    </w:p>
    <w:p>
      <w:pPr>
        <w:pStyle w:val="8"/>
        <w:keepNext w:val="0"/>
        <w:keepLines w:val="0"/>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仿宋_GB2312" w:hAnsi="仿宋_GB2312" w:eastAsia="仿宋_GB2312" w:cs="仿宋_GB2312"/>
          <w:strike w:val="0"/>
          <w:sz w:val="32"/>
          <w:szCs w:val="32"/>
          <w:highlight w:val="yellow"/>
          <w:lang w:eastAsia="zh-CN"/>
        </w:rPr>
      </w:pPr>
      <w:r>
        <w:rPr>
          <w:rFonts w:hint="eastAsia" w:ascii="仿宋_GB2312" w:hAnsi="仿宋_GB2312" w:eastAsia="仿宋_GB2312" w:cs="仿宋_GB2312"/>
          <w:sz w:val="32"/>
          <w:szCs w:val="32"/>
          <w:highlight w:val="none"/>
        </w:rPr>
        <w:t>本办法所称</w:t>
      </w:r>
      <w:r>
        <w:rPr>
          <w:rFonts w:hint="eastAsia" w:ascii="仿宋_GB2312" w:hAnsi="仿宋_GB2312" w:eastAsia="仿宋_GB2312" w:cs="仿宋_GB2312"/>
          <w:strike w:val="0"/>
          <w:dstrike w:val="0"/>
          <w:sz w:val="32"/>
          <w:szCs w:val="32"/>
          <w:highlight w:val="none"/>
        </w:rPr>
        <w:t>城镇房屋是指城镇范围内依法建成的住宅</w:t>
      </w:r>
      <w:r>
        <w:rPr>
          <w:rFonts w:hint="eastAsia" w:ascii="仿宋_GB2312" w:hAnsi="仿宋_GB2312" w:eastAsia="仿宋_GB2312" w:cs="仿宋_GB2312"/>
          <w:strike w:val="0"/>
          <w:dstrike w:val="0"/>
          <w:sz w:val="32"/>
          <w:szCs w:val="32"/>
          <w:highlight w:val="none"/>
          <w:lang w:eastAsia="zh-CN"/>
        </w:rPr>
        <w:t>。</w:t>
      </w:r>
    </w:p>
    <w:p>
      <w:pPr>
        <w:pStyle w:val="8"/>
        <w:keepNext w:val="0"/>
        <w:keepLines w:val="0"/>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第三条【管理原则】</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房屋养老金的资金管理，按照公共账户和个人账户实行分类管理。公共账户资金遵循“政府主导、专业运作，统筹使用、专款专用”的原则。个人账户资金管理按照现</w:t>
      </w:r>
      <w:r>
        <w:rPr>
          <w:rFonts w:hint="eastAsia" w:ascii="仿宋_GB2312" w:hAnsi="仿宋_GB2312" w:eastAsia="仿宋_GB2312" w:cs="仿宋_GB2312"/>
          <w:sz w:val="32"/>
          <w:szCs w:val="32"/>
          <w:highlight w:val="none"/>
          <w:lang w:val="en-US" w:eastAsia="zh-CN"/>
        </w:rPr>
        <w:t>行</w:t>
      </w:r>
      <w:r>
        <w:rPr>
          <w:rFonts w:hint="eastAsia" w:ascii="仿宋_GB2312" w:hAnsi="仿宋_GB2312" w:eastAsia="仿宋_GB2312" w:cs="仿宋_GB2312"/>
          <w:sz w:val="32"/>
          <w:szCs w:val="32"/>
          <w:highlight w:val="none"/>
        </w:rPr>
        <w:t>维修资金有关法律法规、规章和本市相关规定执行。</w:t>
      </w:r>
    </w:p>
    <w:p>
      <w:pPr>
        <w:pStyle w:val="8"/>
        <w:keepNext w:val="0"/>
        <w:keepLines w:val="0"/>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第四条【职能分工】</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区住房建设委负责本辖区内房屋养老金相关政策和技术标准的制定；负责房屋养老金公共账户的建立</w:t>
      </w:r>
      <w:r>
        <w:rPr>
          <w:rFonts w:hint="eastAsia" w:ascii="仿宋_GB2312" w:hAnsi="仿宋_GB2312" w:eastAsia="仿宋_GB2312" w:cs="仿宋_GB2312"/>
          <w:sz w:val="32"/>
          <w:szCs w:val="32"/>
          <w:highlight w:val="none"/>
          <w:lang w:val="en-US" w:eastAsia="zh-CN"/>
        </w:rPr>
        <w:t>与归集</w:t>
      </w:r>
      <w:r>
        <w:rPr>
          <w:rFonts w:hint="eastAsia" w:ascii="仿宋_GB2312" w:hAnsi="仿宋_GB2312" w:eastAsia="仿宋_GB2312" w:cs="仿宋_GB2312"/>
          <w:sz w:val="32"/>
          <w:szCs w:val="32"/>
          <w:highlight w:val="none"/>
        </w:rPr>
        <w:t>、日常管理和使用监督等；负责本辖区内房屋养老金个人账户资金的指导</w:t>
      </w:r>
      <w:r>
        <w:rPr>
          <w:rFonts w:hint="eastAsia" w:ascii="仿宋_GB2312" w:hAnsi="仿宋_GB2312" w:eastAsia="仿宋_GB2312" w:cs="仿宋_GB2312"/>
          <w:sz w:val="32"/>
          <w:szCs w:val="32"/>
          <w:highlight w:val="none"/>
          <w:lang w:val="en-US" w:eastAsia="zh-CN"/>
        </w:rPr>
        <w:t>、管理</w:t>
      </w:r>
      <w:r>
        <w:rPr>
          <w:rFonts w:hint="eastAsia" w:ascii="仿宋_GB2312" w:hAnsi="仿宋_GB2312" w:eastAsia="仿宋_GB2312" w:cs="仿宋_GB2312"/>
          <w:sz w:val="32"/>
          <w:szCs w:val="32"/>
          <w:highlight w:val="none"/>
        </w:rPr>
        <w:t>监督</w:t>
      </w:r>
      <w:r>
        <w:rPr>
          <w:rFonts w:hint="eastAsia" w:ascii="仿宋_GB2312" w:hAnsi="仿宋_GB2312" w:eastAsia="仿宋_GB2312" w:cs="仿宋_GB2312"/>
          <w:sz w:val="32"/>
          <w:szCs w:val="32"/>
          <w:highlight w:val="none"/>
          <w:lang w:val="en-US" w:eastAsia="zh-CN"/>
        </w:rPr>
        <w:t>工作</w:t>
      </w:r>
      <w:r>
        <w:rPr>
          <w:rFonts w:hint="eastAsia" w:ascii="仿宋_GB2312" w:hAnsi="仿宋_GB2312" w:eastAsia="仿宋_GB2312" w:cs="仿宋_GB2312"/>
          <w:sz w:val="32"/>
          <w:szCs w:val="32"/>
          <w:highlight w:val="none"/>
        </w:rPr>
        <w:t>。</w:t>
      </w:r>
    </w:p>
    <w:p>
      <w:pPr>
        <w:keepNext w:val="0"/>
        <w:keepLines w:val="0"/>
        <w:pageBreakBefore w:val="0"/>
        <w:tabs>
          <w:tab w:val="left" w:pos="5880"/>
        </w:tabs>
        <w:kinsoku/>
        <w:wordWrap/>
        <w:overflowPunct/>
        <w:topLinePunct w:val="0"/>
        <w:autoSpaceDE/>
        <w:autoSpaceDN/>
        <w:bidi w:val="0"/>
        <w:adjustRightInd w:val="0"/>
        <w:snapToGrid w:val="0"/>
        <w:spacing w:line="58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各街道办事处（镇政府）、各开发区负责辖区内房屋体检、房屋购买安全综合保险的组织协调、政策宣传等工作。</w:t>
      </w:r>
    </w:p>
    <w:p>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区财政局负责房屋养老金公共账户资金的核拨及充盈；负责房屋养老金的指导和监督工作。</w:t>
      </w:r>
    </w:p>
    <w:p>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eastAsia" w:ascii="黑体" w:hAnsi="黑体" w:eastAsia="黑体" w:cs="黑体"/>
          <w:sz w:val="32"/>
          <w:szCs w:val="32"/>
          <w:highlight w:val="none"/>
        </w:rPr>
      </w:pPr>
      <w:r>
        <w:rPr>
          <w:rFonts w:hint="eastAsia" w:ascii="仿宋_GB2312" w:hAnsi="仿宋_GB2312" w:eastAsia="仿宋_GB2312" w:cs="仿宋_GB2312"/>
          <w:sz w:val="32"/>
          <w:szCs w:val="32"/>
          <w:highlight w:val="none"/>
        </w:rPr>
        <w:t>市规划资源局滨海新区分局、各开发区规划资源部门负责提供年度土地出让计划，负责提供</w:t>
      </w:r>
      <w:r>
        <w:rPr>
          <w:rFonts w:hint="eastAsia" w:ascii="仿宋_GB2312" w:hAnsi="仿宋_GB2312" w:eastAsia="仿宋_GB2312" w:cs="仿宋_GB2312"/>
          <w:sz w:val="32"/>
          <w:szCs w:val="32"/>
          <w:highlight w:val="none"/>
          <w:lang w:val="en-US" w:eastAsia="zh-CN"/>
        </w:rPr>
        <w:t>房屋登记相关信息</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spacing w:line="580" w:lineRule="exact"/>
        <w:jc w:val="center"/>
        <w:textAlignment w:val="auto"/>
        <w:rPr>
          <w:rFonts w:hint="eastAsia" w:ascii="黑体" w:hAnsi="黑体" w:eastAsia="黑体" w:cs="黑体"/>
          <w:sz w:val="32"/>
          <w:szCs w:val="32"/>
          <w:highlight w:val="none"/>
        </w:rPr>
      </w:pPr>
    </w:p>
    <w:p>
      <w:pPr>
        <w:keepNext w:val="0"/>
        <w:keepLines w:val="0"/>
        <w:pageBreakBefore w:val="0"/>
        <w:kinsoku/>
        <w:wordWrap/>
        <w:overflowPunct/>
        <w:topLinePunct w:val="0"/>
        <w:autoSpaceDE/>
        <w:autoSpaceDN/>
        <w:bidi w:val="0"/>
        <w:spacing w:line="580" w:lineRule="exact"/>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第二章  建立</w:t>
      </w:r>
      <w:r>
        <w:rPr>
          <w:rFonts w:hint="eastAsia" w:ascii="黑体" w:hAnsi="黑体" w:eastAsia="黑体" w:cs="黑体"/>
          <w:strike w:val="0"/>
          <w:dstrike w:val="0"/>
          <w:sz w:val="32"/>
          <w:szCs w:val="32"/>
          <w:highlight w:val="none"/>
          <w:lang w:val="en-US" w:eastAsia="zh-CN"/>
        </w:rPr>
        <w:t>与</w:t>
      </w:r>
      <w:r>
        <w:rPr>
          <w:rFonts w:hint="eastAsia" w:ascii="黑体" w:hAnsi="黑体" w:eastAsia="黑体" w:cs="黑体"/>
          <w:sz w:val="32"/>
          <w:szCs w:val="32"/>
          <w:highlight w:val="none"/>
          <w:lang w:val="en-US" w:eastAsia="zh-CN"/>
        </w:rPr>
        <w:t>归集</w:t>
      </w:r>
    </w:p>
    <w:p>
      <w:pPr>
        <w:keepNext w:val="0"/>
        <w:keepLines w:val="0"/>
        <w:pageBreakBefore w:val="0"/>
        <w:kinsoku/>
        <w:wordWrap/>
        <w:overflowPunct/>
        <w:topLinePunct w:val="0"/>
        <w:autoSpaceDE/>
        <w:autoSpaceDN/>
        <w:bidi w:val="0"/>
        <w:spacing w:line="580" w:lineRule="exact"/>
        <w:jc w:val="center"/>
        <w:textAlignment w:val="auto"/>
        <w:rPr>
          <w:rFonts w:hint="eastAsia" w:ascii="黑体" w:hAnsi="黑体" w:eastAsia="黑体" w:cs="黑体"/>
          <w:sz w:val="32"/>
          <w:szCs w:val="32"/>
          <w:highlight w:val="none"/>
          <w:lang w:val="en-US" w:eastAsia="zh-CN"/>
        </w:rPr>
      </w:pPr>
    </w:p>
    <w:p>
      <w:pPr>
        <w:pStyle w:val="8"/>
        <w:keepNext w:val="0"/>
        <w:keepLines w:val="0"/>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第五条【房屋养老金账户建立】</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区住房建设委在专户管理银行开立房屋养老金公共账户，个人账户沿用现有房屋维修资金账户。</w:t>
      </w:r>
    </w:p>
    <w:p>
      <w:pPr>
        <w:pStyle w:val="8"/>
        <w:keepNext w:val="0"/>
        <w:keepLines w:val="0"/>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第六条【房屋养老金资金</w:t>
      </w:r>
      <w:r>
        <w:rPr>
          <w:rFonts w:hint="eastAsia" w:ascii="黑体" w:hAnsi="黑体" w:eastAsia="黑体" w:cs="黑体"/>
          <w:b w:val="0"/>
          <w:bCs w:val="0"/>
          <w:sz w:val="32"/>
          <w:szCs w:val="32"/>
          <w:highlight w:val="none"/>
          <w:lang w:val="en-US" w:eastAsia="zh-CN"/>
        </w:rPr>
        <w:t>归集</w:t>
      </w:r>
      <w:r>
        <w:rPr>
          <w:rFonts w:hint="eastAsia" w:ascii="黑体" w:hAnsi="黑体" w:eastAsia="黑体" w:cs="黑体"/>
          <w:b w:val="0"/>
          <w:bCs w:val="0"/>
          <w:sz w:val="32"/>
          <w:szCs w:val="32"/>
          <w:highlight w:val="none"/>
        </w:rPr>
        <w:t>】</w:t>
      </w:r>
    </w:p>
    <w:p>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val="0"/>
          <w:bCs w:val="0"/>
          <w:strike w:val="0"/>
          <w:dstrike w:val="0"/>
          <w:color w:val="auto"/>
          <w:kern w:val="0"/>
          <w:sz w:val="32"/>
          <w:szCs w:val="32"/>
          <w:highlight w:val="none"/>
        </w:rPr>
        <w:t>房屋养老金公共账户资金</w:t>
      </w:r>
      <w:r>
        <w:rPr>
          <w:rFonts w:hint="eastAsia" w:ascii="仿宋_GB2312" w:hAnsi="仿宋_GB2312" w:eastAsia="仿宋_GB2312" w:cs="仿宋_GB2312"/>
          <w:b w:val="0"/>
          <w:bCs w:val="0"/>
          <w:color w:val="auto"/>
          <w:kern w:val="0"/>
          <w:sz w:val="32"/>
          <w:szCs w:val="32"/>
          <w:highlight w:val="none"/>
        </w:rPr>
        <w:t>通过在涉宅用地土地出让底价的基础上按规划建筑面积每平方米增加一定额度土地收益筹集，并结合相应土地出让增加收益实际缴库情况安排房屋养老金公共账户资金</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同时探索将涉房资金的部分增值收益纳入公共账户</w:t>
      </w:r>
      <w:r>
        <w:rPr>
          <w:rFonts w:hint="eastAsia" w:ascii="仿宋_GB2312" w:hAnsi="仿宋_GB2312" w:eastAsia="仿宋_GB2312" w:cs="仿宋_GB2312"/>
          <w:b w:val="0"/>
          <w:bCs w:val="0"/>
          <w:color w:val="auto"/>
          <w:kern w:val="0"/>
          <w:sz w:val="32"/>
          <w:szCs w:val="32"/>
          <w:highlight w:val="none"/>
          <w:lang w:eastAsia="zh-CN"/>
        </w:rPr>
        <w:t>。</w:t>
      </w:r>
    </w:p>
    <w:p>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房屋养老金个人账户资金</w:t>
      </w:r>
      <w:r>
        <w:rPr>
          <w:rFonts w:hint="eastAsia" w:ascii="仿宋_GB2312" w:hAnsi="仿宋_GB2312" w:eastAsia="仿宋_GB2312" w:cs="仿宋_GB2312"/>
          <w:sz w:val="32"/>
          <w:szCs w:val="32"/>
          <w:highlight w:val="none"/>
          <w:lang w:val="en-US" w:eastAsia="zh-CN"/>
        </w:rPr>
        <w:t>的归集</w:t>
      </w:r>
      <w:r>
        <w:rPr>
          <w:rFonts w:hint="eastAsia" w:ascii="仿宋_GB2312" w:hAnsi="仿宋_GB2312" w:eastAsia="仿宋_GB2312" w:cs="仿宋_GB2312"/>
          <w:sz w:val="32"/>
          <w:szCs w:val="32"/>
          <w:highlight w:val="none"/>
        </w:rPr>
        <w:t>参照现行维修资金相关法律法规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规章和本市有关规定</w:t>
      </w:r>
      <w:r>
        <w:rPr>
          <w:rFonts w:hint="eastAsia" w:ascii="仿宋_GB2312" w:hAnsi="仿宋_GB2312" w:eastAsia="仿宋_GB2312" w:cs="仿宋_GB2312"/>
          <w:sz w:val="32"/>
          <w:szCs w:val="32"/>
          <w:highlight w:val="none"/>
          <w:lang w:eastAsia="zh-CN"/>
        </w:rPr>
        <w:t>。</w:t>
      </w:r>
    </w:p>
    <w:p>
      <w:pPr>
        <w:pStyle w:val="8"/>
        <w:keepNext w:val="0"/>
        <w:keepLines w:val="0"/>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第七条【</w:t>
      </w:r>
      <w:r>
        <w:rPr>
          <w:rFonts w:hint="eastAsia" w:ascii="黑体" w:hAnsi="黑体" w:eastAsia="黑体" w:cs="黑体"/>
          <w:b w:val="0"/>
          <w:bCs w:val="0"/>
          <w:sz w:val="32"/>
          <w:szCs w:val="32"/>
          <w:highlight w:val="none"/>
          <w:lang w:val="en-US" w:eastAsia="zh-CN"/>
        </w:rPr>
        <w:t>无专项维修资金个人账户补建补交</w:t>
      </w:r>
      <w:r>
        <w:rPr>
          <w:rFonts w:hint="eastAsia" w:ascii="黑体" w:hAnsi="黑体" w:eastAsia="黑体" w:cs="黑体"/>
          <w:b w:val="0"/>
          <w:bCs w:val="0"/>
          <w:sz w:val="32"/>
          <w:szCs w:val="32"/>
          <w:highlight w:val="none"/>
        </w:rPr>
        <w:t>】</w:t>
      </w:r>
    </w:p>
    <w:p>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引导无专项维修资金的房屋业主补建个人账户，具体参照现行相关规定执行。</w:t>
      </w:r>
    </w:p>
    <w:p>
      <w:pPr>
        <w:pStyle w:val="8"/>
        <w:keepNext w:val="0"/>
        <w:keepLines w:val="0"/>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第八条【个人账户保障措施】</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房屋所有权转让时，业主应当向受让人说明专项维修资金交存和结余情况并出具有效证明。业主需要提取已缴存的住房公积金用于个人账户的补建及续交的，按照国家和天津市公积金管理规定执行。</w:t>
      </w:r>
    </w:p>
    <w:p>
      <w:pPr>
        <w:keepNext w:val="0"/>
        <w:keepLines w:val="0"/>
        <w:pageBreakBefore w:val="0"/>
        <w:kinsoku/>
        <w:wordWrap/>
        <w:overflowPunct/>
        <w:topLinePunct w:val="0"/>
        <w:autoSpaceDE/>
        <w:autoSpaceDN/>
        <w:bidi w:val="0"/>
        <w:spacing w:line="580" w:lineRule="exact"/>
        <w:jc w:val="center"/>
        <w:textAlignment w:val="auto"/>
        <w:rPr>
          <w:rFonts w:hint="eastAsia" w:ascii="黑体" w:hAnsi="黑体" w:eastAsia="黑体" w:cs="黑体"/>
          <w:sz w:val="32"/>
          <w:szCs w:val="32"/>
          <w:highlight w:val="none"/>
        </w:rPr>
      </w:pPr>
    </w:p>
    <w:p>
      <w:pPr>
        <w:keepNext w:val="0"/>
        <w:keepLines w:val="0"/>
        <w:pageBreakBefore w:val="0"/>
        <w:kinsoku/>
        <w:wordWrap/>
        <w:overflowPunct/>
        <w:topLinePunct w:val="0"/>
        <w:autoSpaceDE/>
        <w:autoSpaceDN/>
        <w:bidi w:val="0"/>
        <w:spacing w:line="58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第三章  使用</w:t>
      </w:r>
    </w:p>
    <w:p>
      <w:pPr>
        <w:keepNext w:val="0"/>
        <w:keepLines w:val="0"/>
        <w:pageBreakBefore w:val="0"/>
        <w:kinsoku/>
        <w:wordWrap/>
        <w:overflowPunct/>
        <w:topLinePunct w:val="0"/>
        <w:autoSpaceDE/>
        <w:autoSpaceDN/>
        <w:bidi w:val="0"/>
        <w:spacing w:line="580" w:lineRule="exact"/>
        <w:jc w:val="center"/>
        <w:textAlignment w:val="auto"/>
        <w:rPr>
          <w:rFonts w:hint="eastAsia" w:ascii="黑体" w:hAnsi="黑体" w:eastAsia="黑体" w:cs="黑体"/>
          <w:sz w:val="32"/>
          <w:szCs w:val="32"/>
          <w:highlight w:val="none"/>
        </w:rPr>
      </w:pPr>
    </w:p>
    <w:p>
      <w:pPr>
        <w:pStyle w:val="8"/>
        <w:keepNext w:val="0"/>
        <w:keepLines w:val="0"/>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第九条【公共账户资金的使用范围】</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下列情形可申请使用公共账户资金：</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（一）房龄25年（含）以上且符合我区房屋体检管理规定需要开展房屋定期体检的；</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（二）房龄25年（含）以上且符合我区房屋保险管理规定需要购买房屋安全综合保险的；</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（三）发生突发事件造成房屋严重损失、影响公共安全，且超过房屋安全综合保险保障额度和保障范围的</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rPr>
        <w:t>（四）必要的支</w:t>
      </w:r>
      <w:r>
        <w:rPr>
          <w:rFonts w:hint="eastAsia" w:ascii="仿宋_GB2312" w:hAnsi="仿宋_GB2312" w:eastAsia="仿宋_GB2312" w:cs="仿宋_GB2312"/>
          <w:b w:val="0"/>
          <w:bCs w:val="0"/>
          <w:color w:val="auto"/>
          <w:sz w:val="32"/>
          <w:szCs w:val="32"/>
          <w:highlight w:val="none"/>
        </w:rPr>
        <w:t>出，</w:t>
      </w:r>
      <w:r>
        <w:rPr>
          <w:rFonts w:hint="eastAsia" w:ascii="仿宋_GB2312" w:hAnsi="仿宋_GB2312" w:eastAsia="仿宋_GB2312" w:cs="仿宋_GB2312"/>
          <w:b w:val="0"/>
          <w:bCs w:val="0"/>
          <w:sz w:val="32"/>
          <w:szCs w:val="32"/>
          <w:highlight w:val="none"/>
        </w:rPr>
        <w:t>包含房屋养老金使用监管相关技术服务费、数字化建设、管理信息系统运营维护费用等</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（对以上（一）、（二）的</w:t>
      </w:r>
      <w:r>
        <w:rPr>
          <w:rFonts w:hint="eastAsia" w:ascii="仿宋_GB2312" w:hAnsi="仿宋_GB2312" w:eastAsia="仿宋_GB2312" w:cs="仿宋_GB2312"/>
          <w:b w:val="0"/>
          <w:bCs w:val="0"/>
          <w:sz w:val="32"/>
          <w:szCs w:val="32"/>
          <w:highlight w:val="none"/>
          <w:lang w:val="en-US" w:eastAsia="zh-CN"/>
        </w:rPr>
        <w:t>具体规定</w:t>
      </w:r>
      <w:r>
        <w:rPr>
          <w:rFonts w:hint="eastAsia" w:ascii="仿宋_GB2312" w:hAnsi="仿宋_GB2312" w:eastAsia="仿宋_GB2312" w:cs="仿宋_GB2312"/>
          <w:b w:val="0"/>
          <w:bCs w:val="0"/>
          <w:sz w:val="32"/>
          <w:szCs w:val="32"/>
          <w:highlight w:val="none"/>
        </w:rPr>
        <w:t>由区住房建设委另行制定，（三）、（四）参照有关规定执行。）</w:t>
      </w:r>
    </w:p>
    <w:p>
      <w:pPr>
        <w:pStyle w:val="8"/>
        <w:keepNext w:val="0"/>
        <w:keepLines w:val="0"/>
        <w:pageBreakBefore w:val="0"/>
        <w:widowControl/>
        <w:kinsoku/>
        <w:wordWrap/>
        <w:overflowPunct/>
        <w:topLinePunct w:val="0"/>
        <w:autoSpaceDE/>
        <w:autoSpaceDN/>
        <w:bidi w:val="0"/>
        <w:spacing w:beforeAutospacing="0" w:afterAutospacing="0" w:line="580" w:lineRule="exact"/>
        <w:ind w:firstLine="640" w:firstLineChars="200"/>
        <w:jc w:val="both"/>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第十条【体检、保险机构选择】</w:t>
      </w:r>
    </w:p>
    <w:p>
      <w:pPr>
        <w:pStyle w:val="8"/>
        <w:keepNext w:val="0"/>
        <w:keepLines w:val="0"/>
        <w:pageBreakBefore w:val="0"/>
        <w:widowControl/>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由区住房建设委统一</w:t>
      </w:r>
      <w:r>
        <w:rPr>
          <w:rFonts w:hint="eastAsia" w:ascii="仿宋_GB2312" w:hAnsi="仿宋_GB2312" w:eastAsia="仿宋_GB2312" w:cs="仿宋_GB2312"/>
          <w:kern w:val="2"/>
          <w:sz w:val="32"/>
          <w:szCs w:val="32"/>
          <w:highlight w:val="none"/>
          <w:lang w:val="en-US" w:eastAsia="zh-CN"/>
        </w:rPr>
        <w:t>采取公平竞争方式择优确定体检、保险等承接主体</w:t>
      </w:r>
      <w:r>
        <w:rPr>
          <w:rFonts w:hint="eastAsia" w:ascii="仿宋_GB2312" w:hAnsi="仿宋_GB2312" w:eastAsia="仿宋_GB2312" w:cs="仿宋_GB2312"/>
          <w:kern w:val="2"/>
          <w:sz w:val="32"/>
          <w:szCs w:val="32"/>
          <w:highlight w:val="none"/>
        </w:rPr>
        <w:t>。</w:t>
      </w:r>
    </w:p>
    <w:p>
      <w:pPr>
        <w:pStyle w:val="8"/>
        <w:keepNext w:val="0"/>
        <w:keepLines w:val="0"/>
        <w:pageBreakBefore w:val="0"/>
        <w:widowControl/>
        <w:kinsoku/>
        <w:wordWrap/>
        <w:overflowPunct/>
        <w:topLinePunct w:val="0"/>
        <w:autoSpaceDE/>
        <w:autoSpaceDN/>
        <w:bidi w:val="0"/>
        <w:spacing w:beforeAutospacing="0" w:afterAutospacing="0" w:line="580" w:lineRule="exact"/>
        <w:ind w:firstLine="640" w:firstLineChars="200"/>
        <w:jc w:val="both"/>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第十一条【体检费用申请流程】</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需要使用公共账户资金支付房屋体检费用的，应当按照以下程序办理：</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制定房屋体检方案。区住房建设委组织各街道办事处（镇政府）、各开发区对辖区内城镇房屋进行全面梳理，体检机构根据房屋情况向区住房建设委递交房屋体检方案，包括体检范围、体检内容、费用标准等。</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签订合同。区住房建设委</w:t>
      </w:r>
      <w:r>
        <w:rPr>
          <w:rFonts w:hint="eastAsia" w:ascii="仿宋_GB2312" w:hAnsi="仿宋_GB2312" w:eastAsia="仿宋_GB2312" w:cs="仿宋_GB2312"/>
          <w:sz w:val="32"/>
          <w:szCs w:val="32"/>
          <w:highlight w:val="none"/>
          <w:lang w:val="en-US" w:eastAsia="zh-CN"/>
        </w:rPr>
        <w:t>组织</w:t>
      </w:r>
      <w:r>
        <w:rPr>
          <w:rFonts w:hint="eastAsia" w:ascii="仿宋_GB2312" w:hAnsi="仿宋_GB2312" w:eastAsia="仿宋_GB2312" w:cs="仿宋_GB2312"/>
          <w:sz w:val="32"/>
          <w:szCs w:val="32"/>
          <w:highlight w:val="none"/>
        </w:rPr>
        <w:t>与体检机构签订书面体检合同。</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实施</w:t>
      </w:r>
      <w:r>
        <w:rPr>
          <w:rFonts w:hint="eastAsia" w:ascii="仿宋_GB2312" w:hAnsi="仿宋_GB2312" w:eastAsia="仿宋_GB2312" w:cs="仿宋_GB2312"/>
          <w:sz w:val="32"/>
          <w:szCs w:val="32"/>
          <w:highlight w:val="none"/>
          <w:lang w:val="en-US" w:eastAsia="zh-CN"/>
        </w:rPr>
        <w:t>体检</w:t>
      </w:r>
      <w:r>
        <w:rPr>
          <w:rFonts w:hint="eastAsia" w:ascii="仿宋_GB2312" w:hAnsi="仿宋_GB2312" w:eastAsia="仿宋_GB2312" w:cs="仿宋_GB2312"/>
          <w:sz w:val="32"/>
          <w:szCs w:val="32"/>
          <w:highlight w:val="none"/>
        </w:rPr>
        <w:t>。体检机构根据方案开展房屋体检，体检完成后，区住房建设委</w:t>
      </w:r>
      <w:r>
        <w:rPr>
          <w:rFonts w:hint="eastAsia" w:ascii="仿宋_GB2312" w:hAnsi="仿宋_GB2312" w:eastAsia="仿宋_GB2312" w:cs="仿宋_GB2312"/>
          <w:strike w:val="0"/>
          <w:dstrike w:val="0"/>
          <w:sz w:val="32"/>
          <w:szCs w:val="32"/>
          <w:highlight w:val="none"/>
        </w:rPr>
        <w:t>组织</w:t>
      </w:r>
      <w:r>
        <w:rPr>
          <w:rFonts w:hint="eastAsia" w:ascii="仿宋_GB2312" w:hAnsi="仿宋_GB2312" w:eastAsia="仿宋_GB2312" w:cs="仿宋_GB2312"/>
          <w:sz w:val="32"/>
          <w:szCs w:val="32"/>
          <w:highlight w:val="none"/>
        </w:rPr>
        <w:t>对体检结果进行验收。</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资金拨付。验收完成后，区住房建设委向专户管理银行发出划转通知，专户管理银行将所需资金划转至体检机构。</w:t>
      </w:r>
    </w:p>
    <w:p>
      <w:pPr>
        <w:pStyle w:val="8"/>
        <w:keepNext w:val="0"/>
        <w:keepLines w:val="0"/>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第十二条【保险费用申请流程】</w:t>
      </w: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需要使用公共账户资金购买</w:t>
      </w:r>
      <w:r>
        <w:rPr>
          <w:rFonts w:hint="eastAsia" w:ascii="仿宋_GB2312" w:hAnsi="仿宋_GB2312" w:eastAsia="仿宋_GB2312" w:cs="仿宋_GB2312"/>
          <w:sz w:val="32"/>
          <w:szCs w:val="32"/>
          <w:highlight w:val="none"/>
          <w:lang w:val="en-US" w:eastAsia="zh-CN"/>
        </w:rPr>
        <w:t>房屋安全综合</w:t>
      </w:r>
      <w:r>
        <w:rPr>
          <w:rFonts w:hint="eastAsia" w:ascii="仿宋_GB2312" w:hAnsi="仿宋_GB2312" w:eastAsia="仿宋_GB2312" w:cs="仿宋_GB2312"/>
          <w:sz w:val="32"/>
          <w:szCs w:val="32"/>
          <w:highlight w:val="none"/>
        </w:rPr>
        <w:t>保险的，应当按照以下程序办理：</w:t>
      </w: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制定房屋安全综合保险方案。区住房建设委组织各街道办事处（镇政府）、各开发区对辖区内城镇房屋进行全面梳理，保险机构根据房屋情况及体检报告向区住房建设委递交房屋安全综合保险方案，包括保障范围、保障内容、投保费用等。</w:t>
      </w: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实施投保。区住房建设委</w:t>
      </w:r>
      <w:r>
        <w:rPr>
          <w:rFonts w:hint="eastAsia" w:ascii="仿宋_GB2312" w:hAnsi="仿宋_GB2312" w:eastAsia="仿宋_GB2312" w:cs="仿宋_GB2312"/>
          <w:sz w:val="32"/>
          <w:szCs w:val="32"/>
          <w:highlight w:val="none"/>
          <w:lang w:val="en-US" w:eastAsia="zh-CN"/>
        </w:rPr>
        <w:t>组织</w:t>
      </w:r>
      <w:r>
        <w:rPr>
          <w:rFonts w:hint="eastAsia" w:ascii="仿宋_GB2312" w:hAnsi="仿宋_GB2312" w:eastAsia="仿宋_GB2312" w:cs="仿宋_GB2312"/>
          <w:sz w:val="32"/>
          <w:szCs w:val="32"/>
          <w:highlight w:val="none"/>
        </w:rPr>
        <w:t>向保险机构投保滨海新区房屋安全综合保险，与保险机构签订书面保险合同。</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资金拨付。区住房建设委向专户管理银行发出划转通知，专户管理银行将所需资金划转至保险机构。</w:t>
      </w:r>
    </w:p>
    <w:p>
      <w:pPr>
        <w:pStyle w:val="8"/>
        <w:keepNext w:val="0"/>
        <w:keepLines w:val="0"/>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第十三条【个人账户资金的使用】</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个人账户的使用及申请，按照现有维修资金有关法律法规、规章和本市相关规定执行。在保证专项维修资金正常使用需求和安全性的前提下，经业主同意可用于购买如电梯、业主共有屋顶光热设备、建筑外墙等</w:t>
      </w:r>
      <w:r>
        <w:rPr>
          <w:rFonts w:hint="eastAsia" w:ascii="仿宋_GB2312" w:hAnsi="仿宋_GB2312" w:eastAsia="仿宋_GB2312" w:cs="仿宋_GB2312"/>
          <w:color w:val="auto"/>
          <w:sz w:val="32"/>
          <w:szCs w:val="32"/>
          <w:highlight w:val="none"/>
          <w:lang w:val="en-US" w:eastAsia="zh-CN"/>
        </w:rPr>
        <w:t>共用部位</w:t>
      </w:r>
      <w:r>
        <w:rPr>
          <w:rFonts w:hint="eastAsia" w:ascii="仿宋_GB2312" w:hAnsi="仿宋_GB2312" w:eastAsia="仿宋_GB2312" w:cs="仿宋_GB2312"/>
          <w:color w:val="auto"/>
          <w:sz w:val="32"/>
          <w:szCs w:val="32"/>
          <w:highlight w:val="none"/>
        </w:rPr>
        <w:t>共用设施设备维修商业保险，具体使用</w:t>
      </w:r>
      <w:r>
        <w:rPr>
          <w:rFonts w:hint="eastAsia" w:ascii="仿宋_GB2312" w:hAnsi="仿宋_GB2312" w:eastAsia="仿宋_GB2312" w:cs="仿宋_GB2312"/>
          <w:color w:val="auto"/>
          <w:sz w:val="32"/>
          <w:szCs w:val="32"/>
          <w:highlight w:val="none"/>
          <w:lang w:val="en-US" w:eastAsia="zh-CN"/>
        </w:rPr>
        <w:t>参照现行规定执行</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spacing w:line="580" w:lineRule="exact"/>
        <w:jc w:val="center"/>
        <w:textAlignment w:val="auto"/>
        <w:rPr>
          <w:rFonts w:hint="eastAsia" w:ascii="黑体" w:hAnsi="黑体" w:eastAsia="黑体" w:cs="黑体"/>
          <w:sz w:val="32"/>
          <w:szCs w:val="32"/>
          <w:highlight w:val="none"/>
        </w:rPr>
      </w:pPr>
    </w:p>
    <w:p>
      <w:pPr>
        <w:keepNext w:val="0"/>
        <w:keepLines w:val="0"/>
        <w:pageBreakBefore w:val="0"/>
        <w:kinsoku/>
        <w:wordWrap/>
        <w:overflowPunct/>
        <w:topLinePunct w:val="0"/>
        <w:autoSpaceDE/>
        <w:autoSpaceDN/>
        <w:bidi w:val="0"/>
        <w:spacing w:line="58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第四章  管理</w:t>
      </w:r>
    </w:p>
    <w:p>
      <w:pPr>
        <w:keepNext w:val="0"/>
        <w:keepLines w:val="0"/>
        <w:pageBreakBefore w:val="0"/>
        <w:kinsoku/>
        <w:wordWrap/>
        <w:overflowPunct/>
        <w:topLinePunct w:val="0"/>
        <w:autoSpaceDE/>
        <w:autoSpaceDN/>
        <w:bidi w:val="0"/>
        <w:spacing w:line="580" w:lineRule="exact"/>
        <w:jc w:val="center"/>
        <w:textAlignment w:val="auto"/>
        <w:rPr>
          <w:rFonts w:hint="eastAsia" w:ascii="黑体" w:hAnsi="黑体" w:eastAsia="黑体" w:cs="黑体"/>
          <w:sz w:val="32"/>
          <w:szCs w:val="32"/>
          <w:highlight w:val="none"/>
        </w:rPr>
      </w:pPr>
    </w:p>
    <w:p>
      <w:pPr>
        <w:pStyle w:val="8"/>
        <w:keepNext w:val="0"/>
        <w:keepLines w:val="0"/>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第十四条【公共账户资金保值增值】</w:t>
      </w: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在保证资金安全和划拨需求的前提下，合理确定开展定期存款的资金规模和期限，确保公共账户资金的保值增值。</w:t>
      </w:r>
      <w:r>
        <w:rPr>
          <w:rFonts w:hint="eastAsia" w:ascii="仿宋_GB2312" w:hAnsi="仿宋_GB2312" w:eastAsia="仿宋_GB2312" w:cs="仿宋_GB2312"/>
          <w:kern w:val="0"/>
          <w:sz w:val="32"/>
          <w:szCs w:val="32"/>
          <w:highlight w:val="none"/>
        </w:rPr>
        <w:t>公共账户资金的存储利息、</w:t>
      </w:r>
      <w:r>
        <w:rPr>
          <w:rFonts w:ascii="仿宋_GB2312" w:hAnsi="仿宋_GB2312" w:eastAsia="仿宋_GB2312" w:cs="仿宋_GB2312"/>
          <w:kern w:val="0"/>
          <w:sz w:val="32"/>
          <w:szCs w:val="32"/>
          <w:highlight w:val="none"/>
        </w:rPr>
        <w:t>增值收益，</w:t>
      </w:r>
      <w:r>
        <w:rPr>
          <w:rFonts w:hint="eastAsia" w:ascii="仿宋_GB2312" w:hAnsi="仿宋_GB2312" w:eastAsia="仿宋_GB2312" w:cs="仿宋_GB2312"/>
          <w:kern w:val="0"/>
          <w:sz w:val="32"/>
          <w:szCs w:val="32"/>
          <w:highlight w:val="none"/>
        </w:rPr>
        <w:t>应当转入公共账户、</w:t>
      </w:r>
      <w:r>
        <w:rPr>
          <w:rFonts w:ascii="仿宋_GB2312" w:hAnsi="仿宋_GB2312" w:eastAsia="仿宋_GB2312" w:cs="仿宋_GB2312"/>
          <w:kern w:val="0"/>
          <w:sz w:val="32"/>
          <w:szCs w:val="32"/>
          <w:highlight w:val="none"/>
        </w:rPr>
        <w:t>滚存使用。</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highlight w:val="none"/>
          <w:lang w:eastAsia="zh-CN"/>
        </w:rPr>
      </w:pPr>
      <w:r>
        <w:rPr>
          <w:rFonts w:ascii="仿宋_GB2312" w:hAnsi="仿宋_GB2312" w:eastAsia="仿宋_GB2312" w:cs="仿宋_GB2312"/>
          <w:kern w:val="0"/>
          <w:sz w:val="32"/>
          <w:szCs w:val="32"/>
          <w:highlight w:val="none"/>
        </w:rPr>
        <w:t>房屋养老金个人账户资金保值增值</w:t>
      </w:r>
      <w:r>
        <w:rPr>
          <w:rFonts w:hint="eastAsia" w:ascii="仿宋_GB2312" w:hAnsi="仿宋_GB2312" w:eastAsia="仿宋_GB2312" w:cs="仿宋_GB2312"/>
          <w:kern w:val="0"/>
          <w:sz w:val="32"/>
          <w:szCs w:val="32"/>
          <w:highlight w:val="none"/>
          <w:lang w:val="en-US" w:eastAsia="zh-CN"/>
        </w:rPr>
        <w:t>措施</w:t>
      </w:r>
      <w:r>
        <w:rPr>
          <w:rFonts w:ascii="仿宋_GB2312" w:hAnsi="仿宋_GB2312" w:eastAsia="仿宋_GB2312" w:cs="仿宋_GB2312"/>
          <w:kern w:val="0"/>
          <w:sz w:val="32"/>
          <w:szCs w:val="32"/>
          <w:highlight w:val="none"/>
        </w:rPr>
        <w:t>参</w:t>
      </w:r>
      <w:r>
        <w:rPr>
          <w:rFonts w:hint="eastAsia" w:ascii="仿宋_GB2312" w:hAnsi="仿宋_GB2312" w:eastAsia="仿宋_GB2312" w:cs="仿宋_GB2312"/>
          <w:sz w:val="32"/>
          <w:szCs w:val="32"/>
          <w:highlight w:val="none"/>
        </w:rPr>
        <w:t>照现行维修资金相关法律法规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规章和本市有关规定</w:t>
      </w:r>
      <w:r>
        <w:rPr>
          <w:rFonts w:hint="eastAsia" w:ascii="仿宋_GB2312" w:hAnsi="仿宋_GB2312" w:eastAsia="仿宋_GB2312" w:cs="仿宋_GB2312"/>
          <w:sz w:val="32"/>
          <w:szCs w:val="32"/>
          <w:highlight w:val="none"/>
          <w:lang w:eastAsia="zh-CN"/>
        </w:rPr>
        <w:t>。</w:t>
      </w:r>
    </w:p>
    <w:p>
      <w:pPr>
        <w:pStyle w:val="8"/>
        <w:keepNext w:val="0"/>
        <w:keepLines w:val="0"/>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第十五条【公共账户银行选择】</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房屋养老金公共账户和个人账户分别建立</w:t>
      </w:r>
      <w:r>
        <w:rPr>
          <w:rFonts w:hint="eastAsia" w:ascii="仿宋_GB2312" w:hAnsi="仿宋_GB2312" w:eastAsia="仿宋_GB2312" w:cs="仿宋_GB2312"/>
          <w:sz w:val="32"/>
          <w:szCs w:val="32"/>
          <w:highlight w:val="none"/>
          <w:lang w:val="en-US" w:eastAsia="zh-CN"/>
        </w:rPr>
        <w:t>账套</w:t>
      </w:r>
      <w:r>
        <w:rPr>
          <w:rFonts w:hint="eastAsia" w:ascii="仿宋_GB2312" w:hAnsi="仿宋_GB2312" w:eastAsia="仿宋_GB2312" w:cs="仿宋_GB2312"/>
          <w:sz w:val="32"/>
          <w:szCs w:val="32"/>
          <w:highlight w:val="none"/>
        </w:rPr>
        <w:t>，独立核算。区住房建设委通过</w:t>
      </w:r>
      <w:r>
        <w:rPr>
          <w:rFonts w:hint="eastAsia" w:ascii="仿宋_GB2312" w:hAnsi="仿宋_GB2312" w:eastAsia="仿宋_GB2312" w:cs="仿宋_GB2312"/>
          <w:kern w:val="2"/>
          <w:sz w:val="32"/>
          <w:szCs w:val="32"/>
          <w:highlight w:val="none"/>
          <w:lang w:val="en-US" w:eastAsia="zh-CN"/>
        </w:rPr>
        <w:t>公平竞争方式择优</w:t>
      </w:r>
      <w:r>
        <w:rPr>
          <w:rFonts w:hint="eastAsia" w:ascii="仿宋_GB2312" w:hAnsi="仿宋_GB2312" w:eastAsia="仿宋_GB2312" w:cs="仿宋_GB2312"/>
          <w:sz w:val="32"/>
          <w:szCs w:val="32"/>
          <w:highlight w:val="none"/>
        </w:rPr>
        <w:t>选择可靠性高、运营规范的商业银行，对房屋养老金公共账户资金进行专户管理。</w:t>
      </w:r>
    </w:p>
    <w:p>
      <w:pPr>
        <w:keepNext w:val="0"/>
        <w:keepLines w:val="0"/>
        <w:pageBreakBefore w:val="0"/>
        <w:kinsoku/>
        <w:wordWrap/>
        <w:overflowPunct/>
        <w:topLinePunct w:val="0"/>
        <w:autoSpaceDE/>
        <w:autoSpaceDN/>
        <w:bidi w:val="0"/>
        <w:spacing w:line="580" w:lineRule="exact"/>
        <w:jc w:val="center"/>
        <w:textAlignment w:val="auto"/>
        <w:rPr>
          <w:rFonts w:hint="eastAsia" w:ascii="黑体" w:hAnsi="黑体" w:eastAsia="黑体" w:cs="黑体"/>
          <w:sz w:val="32"/>
          <w:szCs w:val="32"/>
          <w:highlight w:val="none"/>
        </w:rPr>
      </w:pPr>
    </w:p>
    <w:p>
      <w:pPr>
        <w:keepNext w:val="0"/>
        <w:keepLines w:val="0"/>
        <w:pageBreakBefore w:val="0"/>
        <w:kinsoku/>
        <w:wordWrap/>
        <w:overflowPunct/>
        <w:topLinePunct w:val="0"/>
        <w:autoSpaceDE/>
        <w:autoSpaceDN/>
        <w:bidi w:val="0"/>
        <w:spacing w:line="580" w:lineRule="exact"/>
        <w:jc w:val="center"/>
        <w:textAlignment w:val="auto"/>
        <w:rPr>
          <w:rFonts w:hint="eastAsia" w:ascii="黑体" w:hAnsi="黑体" w:eastAsia="黑体" w:cs="黑体"/>
          <w:strike w:val="0"/>
          <w:dstrike w:val="0"/>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rPr>
        <w:t xml:space="preserve">章  </w:t>
      </w:r>
      <w:r>
        <w:rPr>
          <w:rFonts w:hint="eastAsia" w:ascii="黑体" w:hAnsi="黑体" w:eastAsia="黑体" w:cs="黑体"/>
          <w:strike w:val="0"/>
          <w:dstrike w:val="0"/>
          <w:sz w:val="32"/>
          <w:szCs w:val="32"/>
          <w:highlight w:val="none"/>
        </w:rPr>
        <w:t>监督</w:t>
      </w:r>
    </w:p>
    <w:p>
      <w:pPr>
        <w:keepNext w:val="0"/>
        <w:keepLines w:val="0"/>
        <w:pageBreakBefore w:val="0"/>
        <w:kinsoku/>
        <w:wordWrap/>
        <w:overflowPunct/>
        <w:topLinePunct w:val="0"/>
        <w:autoSpaceDE/>
        <w:autoSpaceDN/>
        <w:bidi w:val="0"/>
        <w:spacing w:line="580" w:lineRule="exact"/>
        <w:jc w:val="center"/>
        <w:textAlignment w:val="auto"/>
        <w:rPr>
          <w:rFonts w:hint="eastAsia" w:ascii="黑体" w:hAnsi="黑体" w:eastAsia="黑体" w:cs="黑体"/>
          <w:strike w:val="0"/>
          <w:dstrike w:val="0"/>
          <w:sz w:val="32"/>
          <w:szCs w:val="32"/>
          <w:highlight w:val="none"/>
        </w:rPr>
      </w:pPr>
    </w:p>
    <w:p>
      <w:pPr>
        <w:pStyle w:val="8"/>
        <w:keepNext w:val="0"/>
        <w:keepLines w:val="0"/>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第十六条【审计监督】</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每年由区住房建设委委托第三方专业机构对公共账户资金的管理和使用进行审计。</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房屋养老金公共账户资金的管理和使用,应当依法接受区审计局的审计监督。</w:t>
      </w:r>
    </w:p>
    <w:p>
      <w:pPr>
        <w:pStyle w:val="8"/>
        <w:keepNext w:val="0"/>
        <w:keepLines w:val="0"/>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第十七条【</w:t>
      </w:r>
      <w:r>
        <w:rPr>
          <w:rFonts w:hint="eastAsia" w:ascii="黑体" w:hAnsi="黑体" w:eastAsia="黑体" w:cs="黑体"/>
          <w:b w:val="0"/>
          <w:bCs w:val="0"/>
          <w:sz w:val="32"/>
          <w:szCs w:val="32"/>
          <w:highlight w:val="none"/>
          <w:lang w:val="en-US" w:eastAsia="zh-CN"/>
        </w:rPr>
        <w:t>资金监管</w:t>
      </w:r>
      <w:r>
        <w:rPr>
          <w:rFonts w:hint="eastAsia" w:ascii="黑体" w:hAnsi="黑体" w:eastAsia="黑体" w:cs="黑体"/>
          <w:b w:val="0"/>
          <w:bCs w:val="0"/>
          <w:sz w:val="32"/>
          <w:szCs w:val="32"/>
          <w:highlight w:val="none"/>
        </w:rPr>
        <w:t>】</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房屋养老金的财务管理和会计核算，应当按照财政部门的有关规定执行。公共账户资金接受财政部门的监督检查;个人账户资金的监督管理按照现有房屋维修资金有关规定执行。</w:t>
      </w:r>
    </w:p>
    <w:p>
      <w:pPr>
        <w:pStyle w:val="8"/>
        <w:keepNext w:val="0"/>
        <w:keepLines w:val="0"/>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第十八条【法律责任】</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从事房屋养老金管理的国家工作人员有行政违法行为的，追究相应的行政责任；有犯罪行为的，</w:t>
      </w:r>
      <w:bookmarkStart w:id="0" w:name="_Hlk179383287"/>
      <w:r>
        <w:rPr>
          <w:rFonts w:hint="eastAsia" w:ascii="仿宋_GB2312" w:hAnsi="仿宋_GB2312" w:eastAsia="仿宋_GB2312" w:cs="仿宋_GB2312"/>
          <w:sz w:val="32"/>
          <w:szCs w:val="32"/>
          <w:highlight w:val="none"/>
        </w:rPr>
        <w:t>追究相应的刑事责任</w:t>
      </w:r>
      <w:bookmarkEnd w:id="0"/>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以上国家工作人员以单位的名义实施行政违法行为、犯罪行为，致使房屋养老金出现重大损失的，单位承担相应的行政责任、刑事责任。</w:t>
      </w:r>
    </w:p>
    <w:p>
      <w:pPr>
        <w:keepNext w:val="0"/>
        <w:keepLines w:val="0"/>
        <w:pageBreakBefore w:val="0"/>
        <w:kinsoku/>
        <w:wordWrap/>
        <w:overflowPunct/>
        <w:topLinePunct w:val="0"/>
        <w:autoSpaceDE/>
        <w:autoSpaceDN/>
        <w:bidi w:val="0"/>
        <w:spacing w:line="580" w:lineRule="exact"/>
        <w:jc w:val="center"/>
        <w:textAlignment w:val="auto"/>
        <w:rPr>
          <w:rFonts w:hint="eastAsia" w:ascii="黑体" w:hAnsi="黑体" w:eastAsia="黑体" w:cs="黑体"/>
          <w:sz w:val="32"/>
          <w:szCs w:val="32"/>
          <w:highlight w:val="none"/>
        </w:rPr>
      </w:pPr>
    </w:p>
    <w:p>
      <w:pPr>
        <w:keepNext w:val="0"/>
        <w:keepLines w:val="0"/>
        <w:pageBreakBefore w:val="0"/>
        <w:kinsoku/>
        <w:wordWrap/>
        <w:overflowPunct/>
        <w:topLinePunct w:val="0"/>
        <w:autoSpaceDE/>
        <w:autoSpaceDN/>
        <w:bidi w:val="0"/>
        <w:spacing w:line="580" w:lineRule="exact"/>
        <w:jc w:val="center"/>
        <w:textAlignment w:val="auto"/>
        <w:rPr>
          <w:rFonts w:hint="eastAsia" w:ascii="黑体" w:hAnsi="黑体" w:eastAsia="黑体" w:cs="黑体"/>
          <w:sz w:val="32"/>
          <w:szCs w:val="32"/>
          <w:highlight w:val="none"/>
        </w:rPr>
      </w:pPr>
    </w:p>
    <w:p>
      <w:pPr>
        <w:keepNext w:val="0"/>
        <w:keepLines w:val="0"/>
        <w:pageBreakBefore w:val="0"/>
        <w:kinsoku/>
        <w:wordWrap/>
        <w:overflowPunct/>
        <w:topLinePunct w:val="0"/>
        <w:autoSpaceDE/>
        <w:autoSpaceDN/>
        <w:bidi w:val="0"/>
        <w:spacing w:line="580" w:lineRule="exact"/>
        <w:jc w:val="center"/>
        <w:textAlignment w:val="auto"/>
        <w:rPr>
          <w:rFonts w:hint="eastAsia" w:ascii="黑体" w:hAnsi="黑体" w:eastAsia="黑体" w:cs="黑体"/>
          <w:sz w:val="32"/>
          <w:szCs w:val="32"/>
          <w:highlight w:val="none"/>
        </w:rPr>
      </w:pPr>
    </w:p>
    <w:p>
      <w:pPr>
        <w:keepNext w:val="0"/>
        <w:keepLines w:val="0"/>
        <w:pageBreakBefore w:val="0"/>
        <w:kinsoku/>
        <w:wordWrap/>
        <w:overflowPunct/>
        <w:topLinePunct w:val="0"/>
        <w:autoSpaceDE/>
        <w:autoSpaceDN/>
        <w:bidi w:val="0"/>
        <w:spacing w:line="58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rPr>
        <w:t>章  附则</w:t>
      </w:r>
    </w:p>
    <w:p>
      <w:pPr>
        <w:keepNext w:val="0"/>
        <w:keepLines w:val="0"/>
        <w:pageBreakBefore w:val="0"/>
        <w:kinsoku/>
        <w:wordWrap/>
        <w:overflowPunct/>
        <w:topLinePunct w:val="0"/>
        <w:autoSpaceDE/>
        <w:autoSpaceDN/>
        <w:bidi w:val="0"/>
        <w:spacing w:line="580" w:lineRule="exact"/>
        <w:jc w:val="center"/>
        <w:textAlignment w:val="auto"/>
        <w:rPr>
          <w:rFonts w:hint="eastAsia" w:ascii="黑体" w:hAnsi="黑体" w:eastAsia="黑体" w:cs="黑体"/>
          <w:sz w:val="32"/>
          <w:szCs w:val="32"/>
          <w:highlight w:val="none"/>
        </w:rPr>
      </w:pP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kern w:val="0"/>
          <w:sz w:val="32"/>
          <w:szCs w:val="32"/>
          <w:highlight w:val="none"/>
          <w:lang w:val="en-US" w:eastAsia="zh-CN" w:bidi="ar-SA"/>
        </w:rPr>
        <w:t>第十九条</w:t>
      </w:r>
      <w:r>
        <w:rPr>
          <w:rFonts w:hint="eastAsia" w:ascii="黑体" w:hAnsi="黑体" w:eastAsia="黑体" w:cs="黑体"/>
          <w:b w:val="0"/>
          <w:bCs w:val="0"/>
          <w:color w:val="auto"/>
          <w:sz w:val="32"/>
          <w:szCs w:val="32"/>
          <w:highlight w:val="none"/>
        </w:rPr>
        <w:t>【</w:t>
      </w:r>
      <w:r>
        <w:rPr>
          <w:rFonts w:hint="eastAsia" w:ascii="黑体" w:hAnsi="黑体" w:eastAsia="黑体" w:cs="黑体"/>
          <w:b w:val="0"/>
          <w:bCs w:val="0"/>
          <w:color w:val="auto"/>
          <w:sz w:val="32"/>
          <w:szCs w:val="32"/>
          <w:highlight w:val="none"/>
          <w:lang w:val="en-US" w:eastAsia="zh-CN"/>
        </w:rPr>
        <w:t>补充说明</w:t>
      </w:r>
      <w:r>
        <w:rPr>
          <w:rFonts w:hint="eastAsia" w:ascii="黑体" w:hAnsi="黑体" w:eastAsia="黑体" w:cs="黑体"/>
          <w:b w:val="0"/>
          <w:bCs w:val="0"/>
          <w:color w:val="auto"/>
          <w:sz w:val="32"/>
          <w:szCs w:val="32"/>
          <w:highlight w:val="none"/>
        </w:rPr>
        <w:t>】</w:t>
      </w: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本办法未涉及的个人账户相关事项，参照现行维修资金相关法律法规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规章和本市有关规定。</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kern w:val="0"/>
          <w:sz w:val="32"/>
          <w:szCs w:val="32"/>
          <w:highlight w:val="none"/>
          <w:lang w:val="en-US" w:eastAsia="zh-CN" w:bidi="ar-SA"/>
        </w:rPr>
      </w:pPr>
      <w:r>
        <w:rPr>
          <w:rFonts w:hint="eastAsia" w:ascii="黑体" w:hAnsi="黑体" w:eastAsia="黑体" w:cs="黑体"/>
          <w:b w:val="0"/>
          <w:bCs w:val="0"/>
          <w:kern w:val="0"/>
          <w:sz w:val="32"/>
          <w:szCs w:val="32"/>
          <w:highlight w:val="none"/>
          <w:lang w:val="en-US" w:eastAsia="zh-CN" w:bidi="ar-SA"/>
        </w:rPr>
        <w:t>第二十条【解释权】</w:t>
      </w: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本办法由区住房建设委、区财政局</w:t>
      </w:r>
      <w:r>
        <w:rPr>
          <w:rFonts w:hint="eastAsia" w:ascii="仿宋_GB2312" w:hAnsi="仿宋_GB2312" w:eastAsia="仿宋_GB2312" w:cs="仿宋_GB2312"/>
          <w:sz w:val="32"/>
          <w:szCs w:val="32"/>
          <w:highlight w:val="none"/>
          <w:lang w:eastAsia="zh-CN"/>
        </w:rPr>
        <w:t>、市规划资源局滨海分局</w:t>
      </w:r>
      <w:r>
        <w:rPr>
          <w:rFonts w:hint="eastAsia" w:ascii="仿宋_GB2312" w:hAnsi="仿宋_GB2312" w:eastAsia="仿宋_GB2312" w:cs="仿宋_GB2312"/>
          <w:sz w:val="32"/>
          <w:szCs w:val="32"/>
          <w:highlight w:val="none"/>
        </w:rPr>
        <w:t>负责解释。</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kern w:val="0"/>
          <w:sz w:val="32"/>
          <w:szCs w:val="32"/>
          <w:highlight w:val="none"/>
          <w:lang w:val="en-US" w:eastAsia="zh-CN" w:bidi="ar-SA"/>
        </w:rPr>
      </w:pPr>
      <w:r>
        <w:rPr>
          <w:rFonts w:hint="eastAsia" w:ascii="黑体" w:hAnsi="黑体" w:eastAsia="黑体" w:cs="黑体"/>
          <w:b w:val="0"/>
          <w:bCs w:val="0"/>
          <w:kern w:val="0"/>
          <w:sz w:val="32"/>
          <w:szCs w:val="32"/>
          <w:highlight w:val="none"/>
          <w:lang w:val="en-US" w:eastAsia="zh-CN" w:bidi="ar-SA"/>
        </w:rPr>
        <w:t>第二十一条【实施时间】</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本办法自</w:t>
      </w:r>
      <w:r>
        <w:rPr>
          <w:rFonts w:hint="eastAsia" w:ascii="仿宋_GB2312" w:hAnsi="仿宋_GB2312" w:eastAsia="仿宋_GB2312" w:cs="仿宋_GB2312"/>
          <w:color w:val="000000"/>
          <w:kern w:val="0"/>
          <w:sz w:val="32"/>
          <w:szCs w:val="32"/>
          <w:highlight w:val="none"/>
          <w:lang w:eastAsia="zh-CN"/>
        </w:rPr>
        <w:t>印发之日</w:t>
      </w:r>
      <w:r>
        <w:rPr>
          <w:rFonts w:hint="eastAsia" w:ascii="仿宋_GB2312" w:hAnsi="仿宋_GB2312" w:eastAsia="仿宋_GB2312" w:cs="仿宋_GB2312"/>
          <w:color w:val="000000"/>
          <w:kern w:val="0"/>
          <w:sz w:val="32"/>
          <w:szCs w:val="32"/>
          <w:highlight w:val="none"/>
        </w:rPr>
        <w:t>起施行，有效期5年。</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000000"/>
          <w:kern w:val="0"/>
          <w:sz w:val="32"/>
          <w:szCs w:val="32"/>
          <w:highlight w:val="none"/>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ind w:right="1216" w:rightChars="579"/>
        <w:rPr>
          <w:color w:val="FF0000"/>
          <w:sz w:val="28"/>
          <w:szCs w:val="28"/>
        </w:rPr>
      </w:pPr>
    </w:p>
    <w:sectPr>
      <w:footerReference r:id="rId3" w:type="default"/>
      <w:footerReference r:id="rId4" w:type="even"/>
      <w:pgSz w:w="11906" w:h="16838"/>
      <w:pgMar w:top="2098" w:right="1474" w:bottom="1985" w:left="1588" w:header="851" w:footer="1418" w:gutter="0"/>
      <w:pgNumType w:fmt="numberInDash" w:start="1"/>
      <w:cols w:space="720" w:num="1"/>
      <w:docGrid w:type="line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Arial Unicode MS">
    <w:altName w:val="DejaVu Sans"/>
    <w:panose1 w:val="020B0604020202020204"/>
    <w:charset w:val="86"/>
    <w:family w:val="roman"/>
    <w:pitch w:val="default"/>
    <w:sig w:usb0="00000000" w:usb1="00000000" w:usb2="0000003F" w:usb3="00000000" w:csb0="603F01FF" w:csb1="FFFF0000"/>
  </w:font>
  <w:font w:name="Tahoma">
    <w:altName w:val="Droid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微软简标宋">
    <w:altName w:val="方正书宋_GBK"/>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roid Sans">
    <w:panose1 w:val="020B0606030804020204"/>
    <w:charset w:val="00"/>
    <w:family w:val="auto"/>
    <w:pitch w:val="default"/>
    <w:sig w:usb0="E00002EF" w:usb1="4000205B" w:usb2="00000028" w:usb3="00000000" w:csb0="2000019F"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14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6"/>
      <w:wordWrap w:val="0"/>
      <w:ind w:right="92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140" w:firstLineChars="5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6"/>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evenAndOddHeaders w:val="true"/>
  <w:drawingGridHorizontalSpacing w:val="201"/>
  <w:drawingGridVerticalSpacing w:val="28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64"/>
    <w:rsid w:val="00005E68"/>
    <w:rsid w:val="000F038A"/>
    <w:rsid w:val="000F0D83"/>
    <w:rsid w:val="00146990"/>
    <w:rsid w:val="00172A27"/>
    <w:rsid w:val="001E2D80"/>
    <w:rsid w:val="001F0435"/>
    <w:rsid w:val="002D04A2"/>
    <w:rsid w:val="00302382"/>
    <w:rsid w:val="003408D3"/>
    <w:rsid w:val="003440F0"/>
    <w:rsid w:val="00395590"/>
    <w:rsid w:val="003C574D"/>
    <w:rsid w:val="004174A9"/>
    <w:rsid w:val="00425B50"/>
    <w:rsid w:val="004277B5"/>
    <w:rsid w:val="0044595C"/>
    <w:rsid w:val="004665AA"/>
    <w:rsid w:val="004A4A76"/>
    <w:rsid w:val="004B560C"/>
    <w:rsid w:val="004F4D23"/>
    <w:rsid w:val="00523256"/>
    <w:rsid w:val="0065283D"/>
    <w:rsid w:val="006D3A7F"/>
    <w:rsid w:val="006D69DB"/>
    <w:rsid w:val="0073644D"/>
    <w:rsid w:val="0074254B"/>
    <w:rsid w:val="00756F77"/>
    <w:rsid w:val="00764BE2"/>
    <w:rsid w:val="007935B9"/>
    <w:rsid w:val="007C6501"/>
    <w:rsid w:val="007E3306"/>
    <w:rsid w:val="007E605F"/>
    <w:rsid w:val="007F3197"/>
    <w:rsid w:val="00806027"/>
    <w:rsid w:val="00837807"/>
    <w:rsid w:val="00855A21"/>
    <w:rsid w:val="008A6BC3"/>
    <w:rsid w:val="008C5DBD"/>
    <w:rsid w:val="008D403B"/>
    <w:rsid w:val="008D4541"/>
    <w:rsid w:val="009458F8"/>
    <w:rsid w:val="00A06BB5"/>
    <w:rsid w:val="00A919DE"/>
    <w:rsid w:val="00AB0C9C"/>
    <w:rsid w:val="00B1588F"/>
    <w:rsid w:val="00B27E97"/>
    <w:rsid w:val="00B83933"/>
    <w:rsid w:val="00BA2616"/>
    <w:rsid w:val="00BA4BBE"/>
    <w:rsid w:val="00BE6D22"/>
    <w:rsid w:val="00C12F3F"/>
    <w:rsid w:val="00C5217E"/>
    <w:rsid w:val="00C73AC4"/>
    <w:rsid w:val="00CB4599"/>
    <w:rsid w:val="00D35323"/>
    <w:rsid w:val="00D43D9C"/>
    <w:rsid w:val="00DE4481"/>
    <w:rsid w:val="00E82BCD"/>
    <w:rsid w:val="00EC6A29"/>
    <w:rsid w:val="00F21B8C"/>
    <w:rsid w:val="00F34B22"/>
    <w:rsid w:val="673F7D9F"/>
    <w:rsid w:val="75FD17E1"/>
    <w:rsid w:val="76EF1E27"/>
    <w:rsid w:val="DD2FE1CB"/>
    <w:rsid w:val="F7BD5756"/>
    <w:rsid w:val="FFFFD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Date"/>
    <w:basedOn w:val="1"/>
    <w:next w:val="1"/>
    <w:link w:val="18"/>
    <w:qFormat/>
    <w:uiPriority w:val="0"/>
    <w:pPr>
      <w:ind w:left="100" w:leftChars="2500"/>
    </w:pPr>
  </w:style>
  <w:style w:type="paragraph" w:styleId="5">
    <w:name w:val="Balloon Text"/>
    <w:basedOn w:val="1"/>
    <w:qFormat/>
    <w:uiPriority w:val="0"/>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0000FF"/>
      <w:u w:val="single"/>
    </w:rPr>
  </w:style>
  <w:style w:type="paragraph" w:customStyle="1" w:styleId="14">
    <w:name w:val="_Style 2"/>
    <w:basedOn w:val="1"/>
    <w:qFormat/>
    <w:uiPriority w:val="0"/>
  </w:style>
  <w:style w:type="paragraph" w:customStyle="1" w:styleId="15">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6">
    <w:name w:val="默认段落字体 Para Char Char Char Char Char Char Char"/>
    <w:basedOn w:val="1"/>
    <w:qFormat/>
    <w:uiPriority w:val="0"/>
    <w:rPr>
      <w:rFonts w:ascii="Tahoma" w:hAnsi="Tahoma"/>
      <w:sz w:val="24"/>
      <w:szCs w:val="20"/>
    </w:rPr>
  </w:style>
  <w:style w:type="character" w:customStyle="1" w:styleId="17">
    <w:name w:val="页脚 Char"/>
    <w:basedOn w:val="10"/>
    <w:link w:val="6"/>
    <w:qFormat/>
    <w:uiPriority w:val="99"/>
    <w:rPr>
      <w:kern w:val="2"/>
      <w:sz w:val="18"/>
      <w:szCs w:val="18"/>
    </w:rPr>
  </w:style>
  <w:style w:type="character" w:customStyle="1" w:styleId="18">
    <w:name w:val="日期 Char"/>
    <w:basedOn w:val="10"/>
    <w:link w:val="4"/>
    <w:qFormat/>
    <w:uiPriority w:val="0"/>
    <w:rPr>
      <w:kern w:val="2"/>
      <w:sz w:val="21"/>
      <w:szCs w:val="24"/>
    </w:rPr>
  </w:style>
  <w:style w:type="character" w:customStyle="1" w:styleId="19">
    <w:name w:val="Hei Ti"/>
    <w:qFormat/>
    <w:uiPriority w:val="0"/>
    <w:rPr>
      <w:rFonts w:ascii="黑体" w:hAnsi="黑体" w:eastAsia="黑体" w:cs="黑体"/>
      <w:sz w:val="32"/>
    </w:rPr>
  </w:style>
  <w:style w:type="character" w:customStyle="1" w:styleId="20">
    <w:name w:val="Hei Ti Bold"/>
    <w:qFormat/>
    <w:uiPriority w:val="0"/>
    <w:rPr>
      <w:rFonts w:ascii="黑体" w:hAnsi="黑体" w:eastAsia="黑体" w:cs="黑体"/>
      <w:b/>
      <w:sz w:val="32"/>
    </w:rPr>
  </w:style>
  <w:style w:type="character" w:customStyle="1" w:styleId="21">
    <w:name w:val="Hei Ti Bold1"/>
    <w:qFormat/>
    <w:uiPriority w:val="0"/>
    <w:rPr>
      <w:rFonts w:ascii="黑体" w:hAnsi="黑体" w:eastAsia="黑体" w:cs="黑体"/>
      <w:b/>
      <w:sz w:val="36"/>
    </w:rPr>
  </w:style>
  <w:style w:type="character" w:customStyle="1" w:styleId="22">
    <w:name w:val="GB_2312"/>
    <w:qFormat/>
    <w:uiPriority w:val="0"/>
    <w:rPr>
      <w:rFonts w:ascii="仿宋_GB2312" w:hAnsi="仿宋_GB2312" w:eastAsia="仿宋_GB2312" w:cs="仿宋_GB2312"/>
      <w:sz w:val="32"/>
    </w:rPr>
  </w:style>
  <w:style w:type="character" w:customStyle="1" w:styleId="23">
    <w:name w:val="GB_23121"/>
    <w:qFormat/>
    <w:uiPriority w:val="0"/>
    <w:rPr>
      <w:rFonts w:ascii="仿宋_GB2312" w:hAnsi="仿宋_GB2312" w:eastAsia="仿宋_GB2312" w:cs="仿宋_GB2312"/>
      <w:sz w:val="36"/>
    </w:rPr>
  </w:style>
  <w:style w:type="character" w:customStyle="1" w:styleId="24">
    <w:name w:val="Red_Color"/>
    <w:qFormat/>
    <w:uiPriority w:val="0"/>
    <w:rPr>
      <w:rFonts w:ascii="方正小标宋简体" w:hAnsi="方正小标宋简体" w:eastAsia="方正小标宋简体" w:cs="方正小标宋简体"/>
      <w:color w:val="000000"/>
      <w:sz w:val="65"/>
    </w:rPr>
  </w:style>
  <w:style w:type="character" w:customStyle="1" w:styleId="25">
    <w:name w:val="KaiTi"/>
    <w:qFormat/>
    <w:uiPriority w:val="0"/>
    <w:rPr>
      <w:rFonts w:ascii="楷体_GB2312" w:hAnsi="楷体_GB2312" w:eastAsia="楷体_GB2312" w:cs="楷体_GB2312"/>
      <w:sz w:val="32"/>
    </w:rPr>
  </w:style>
  <w:style w:type="character" w:customStyle="1" w:styleId="26">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14</Words>
  <Characters>81</Characters>
  <Lines>1</Lines>
  <Paragraphs>1</Paragraphs>
  <TotalTime>4</TotalTime>
  <ScaleCrop>false</ScaleCrop>
  <LinksUpToDate>false</LinksUpToDate>
  <CharactersWithSpaces>94</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2020-08-27T07:24:00Z</dcterms:created>
  <dc:creator>张殿武</dc:creator>
  <cp:lastModifiedBy>房屋管理室</cp:lastModifiedBy>
  <cp:lastPrinted>2014-07-05T04:32:00Z</cp:lastPrinted>
  <dcterms:modified xsi:type="dcterms:W3CDTF">2025-01-24T10:31:34Z</dcterms:modified>
  <dc:title>000001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