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23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行政处罚决定履行催告书</w:t>
      </w:r>
    </w:p>
    <w:p w14:paraId="4564C9C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案件编码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津滨住建罚字〔2024〕第1208号</w:t>
      </w:r>
    </w:p>
    <w:p w14:paraId="235775D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天津市金晟物业管理有限公司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：</w:t>
      </w:r>
    </w:p>
    <w:p w14:paraId="555BD1E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ascii="黑体" w:hAnsi="Calibri" w:eastAsia="黑体" w:cs="宋体"/>
          <w:b/>
          <w:sz w:val="32"/>
          <w:szCs w:val="32"/>
          <w:shd w:val="clear" w:color="auto" w:fill="FFFFFF"/>
        </w:rPr>
      </w:pPr>
      <w:r>
        <w:rPr>
          <w:sz w:val="32"/>
        </w:rPr>
        <w:pict>
          <v:shape id="_x0000_s2051" o:spid="_x0000_s2051" o:spt="202" type="#_x0000_t202" style="position:absolute;left:0pt;margin-left:437.45pt;margin-top:72.95pt;height:169.5pt;width:51.2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 style="layout-flow:vertical-ideographic;">
              <w:txbxContent>
                <w:p w14:paraId="51ADDCB7">
                  <w:pPr>
                    <w:rPr>
                      <w:rFonts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一联  送达当事人</w:t>
                  </w:r>
                </w:p>
                <w:p w14:paraId="69C0818F"/>
              </w:txbxContent>
            </v:textbox>
          </v:shape>
        </w:pic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本机关于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</w:rPr>
        <w:t>202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5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1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日依法向你单位送达了《行政处罚决定书》（案件编码：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津滨住建罚字〔2024〕第1208号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）。决定对你单位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罚款人民币叁万贰仟（¥32000）元整，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并要求你单位在收到本处罚决定书之日起15日内到指定银行缴纳罚款。到期不缴纳罚款的，依据《中华人民共和国行政处罚法》第七十二条第一款第一项的规定，每日按罚款数额的百分之三加处罚款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你单位在法定期限内</w:t>
      </w:r>
      <w:r>
        <w:rPr>
          <w:rFonts w:hint="eastAsia" w:ascii="仿宋_GB2312" w:hAnsi="Calibri" w:eastAsia="仿宋_GB2312" w:cs="宋体"/>
          <w:sz w:val="32"/>
          <w:szCs w:val="32"/>
        </w:rPr>
        <w:t>未申请行政复议或者提起行政诉讼，又不履行本机关作出的行政处罚决定</w:t>
      </w:r>
      <w:r>
        <w:rPr>
          <w:rFonts w:hint="eastAsia" w:ascii="仿宋_GB2312" w:hAnsi="Calibri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>未履行缴纳罚款32000元及加处罚款32000元的义务</w:t>
      </w:r>
      <w:r>
        <w:rPr>
          <w:rFonts w:hint="eastAsia" w:ascii="仿宋_GB2312" w:hAnsi="Calibri" w:eastAsia="仿宋_GB2312" w:cs="宋体"/>
          <w:sz w:val="32"/>
          <w:szCs w:val="32"/>
        </w:rPr>
        <w:t>。</w:t>
      </w:r>
    </w:p>
    <w:p w14:paraId="7A75A5D4">
      <w:pPr>
        <w:keepNext w:val="0"/>
        <w:keepLines w:val="0"/>
        <w:pageBreakBefore w:val="0"/>
        <w:widowControl w:val="0"/>
        <w:shd w:val="clear" w:color="auto" w:fill="FFFFFF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jc w:val="both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本机关依据《中华人民共和国行政强制法》第五十四条的规定，现催告你单位履行上述行政处罚决定。请你单位在收到本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  <w:lang w:eastAsia="zh-CN"/>
        </w:rPr>
        <w:t>催告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书之日起10日内缴纳罚款。你单位可以在收到本催告书之日起五个工作日内到天津市滨海新区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  <w:lang w:eastAsia="zh-CN"/>
        </w:rPr>
        <w:t>住房和建设委员会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（地址：天津市滨海新区大连东道1060号）进行陈述、申辩。无正当理由逾期仍不履行行政处罚决定的，本机关将依法申请人民法院强制执行。</w:t>
      </w:r>
    </w:p>
    <w:p w14:paraId="5C9A9F6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/>
        <w:jc w:val="right"/>
        <w:textAlignment w:val="auto"/>
        <w:rPr>
          <w:rFonts w:hint="eastAsia" w:ascii="仿宋_GB2312" w:hAnsi="Calibri" w:eastAsia="仿宋_GB2312"/>
          <w:sz w:val="32"/>
          <w:szCs w:val="32"/>
          <w:shd w:val="clear" w:color="auto" w:fill="FFFFFF"/>
        </w:rPr>
      </w:pPr>
    </w:p>
    <w:p w14:paraId="0C1DDEA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/>
        <w:jc w:val="right"/>
        <w:textAlignment w:val="auto"/>
        <w:rPr>
          <w:rFonts w:hint="eastAsia" w:ascii="仿宋_GB2312" w:hAnsi="Calibri" w:eastAsia="仿宋_GB2312"/>
          <w:sz w:val="32"/>
          <w:szCs w:val="32"/>
          <w:shd w:val="clear" w:color="auto" w:fill="FFFFFF"/>
        </w:rPr>
      </w:pPr>
    </w:p>
    <w:p w14:paraId="1EEF00A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/>
        <w:jc w:val="center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sz w:val="32"/>
          <w:szCs w:val="32"/>
          <w:shd w:val="clear" w:color="auto" w:fill="FFFFFF"/>
          <w:lang w:val="en-US" w:eastAsia="zh-CN"/>
        </w:rPr>
        <w:t xml:space="preserve">                                    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（盖章）</w:t>
      </w:r>
    </w:p>
    <w:p w14:paraId="55CAA2E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jc w:val="right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日</w:t>
      </w:r>
    </w:p>
    <w:p w14:paraId="6B66293B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ind w:right="0" w:firstLine="0" w:firstLineChars="0"/>
        <w:textAlignment w:val="auto"/>
      </w:pPr>
    </w:p>
    <w:p w14:paraId="22DF7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行政处罚决定履行催告书</w:t>
      </w:r>
    </w:p>
    <w:p w14:paraId="42C8C07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案件编码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津滨住建罚字〔2024〕第1208号</w:t>
      </w:r>
    </w:p>
    <w:p w14:paraId="2273C7C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天津市金晟物业管理有限公司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：</w:t>
      </w:r>
    </w:p>
    <w:p w14:paraId="30A4203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ascii="黑体" w:hAnsi="Calibri" w:eastAsia="黑体" w:cs="宋体"/>
          <w:b/>
          <w:sz w:val="32"/>
          <w:szCs w:val="32"/>
          <w:shd w:val="clear" w:color="auto" w:fill="FFFFFF"/>
        </w:rPr>
      </w:pPr>
      <w:r>
        <w:rPr>
          <w:sz w:val="32"/>
        </w:rPr>
        <w:pict>
          <v:shape id="_x0000_s2058" o:spid="_x0000_s2058" o:spt="202" type="#_x0000_t202" style="position:absolute;left:0pt;margin-left:437.45pt;margin-top:72.95pt;height:169.5pt;width:51.2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 style="layout-flow:vertical-ideographic;">
              <w:txbxContent>
                <w:p w14:paraId="3A617178">
                  <w:pPr>
                    <w:rPr>
                      <w:rFonts w:hint="eastAsia" w:eastAsia="仿宋_GB231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二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 xml:space="preserve">联  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由办案机关留档</w:t>
                  </w:r>
                </w:p>
                <w:p w14:paraId="382D9174"/>
              </w:txbxContent>
            </v:textbox>
          </v:shape>
        </w:pic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本机关于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</w:rPr>
        <w:t>202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5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1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日依法向你单位送达了《行政处罚决定书》（案件编码：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津滨住建罚字〔2024〕第1208号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）。决定对你单位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罚款人民币叁万贰仟（¥32000）元整，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并要求你单位在收到本处罚决定书之日起15日内到指定银行缴纳罚款。到期不缴纳罚款的，依据《中华人民共和国行政处罚法》第七十二条第一款第一项的规定，每日按罚款数额的百分之三加处罚款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你单位在法定期限内</w:t>
      </w:r>
      <w:r>
        <w:rPr>
          <w:rFonts w:hint="eastAsia" w:ascii="仿宋_GB2312" w:hAnsi="Calibri" w:eastAsia="仿宋_GB2312" w:cs="宋体"/>
          <w:sz w:val="32"/>
          <w:szCs w:val="32"/>
        </w:rPr>
        <w:t>未申请行政复议或者提起行政诉讼，又不履行本机关作出的行政处罚决定</w:t>
      </w:r>
      <w:r>
        <w:rPr>
          <w:rFonts w:hint="eastAsia" w:ascii="仿宋_GB2312" w:hAnsi="Calibri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>未履行缴纳罚款32000元及加处罚款32000元的义务</w:t>
      </w:r>
      <w:r>
        <w:rPr>
          <w:rFonts w:hint="eastAsia" w:ascii="仿宋_GB2312" w:hAnsi="Calibri" w:eastAsia="仿宋_GB2312" w:cs="宋体"/>
          <w:sz w:val="32"/>
          <w:szCs w:val="32"/>
        </w:rPr>
        <w:t>。</w:t>
      </w:r>
    </w:p>
    <w:p w14:paraId="26979AC0">
      <w:pPr>
        <w:keepNext w:val="0"/>
        <w:keepLines w:val="0"/>
        <w:pageBreakBefore w:val="0"/>
        <w:widowControl w:val="0"/>
        <w:shd w:val="clear" w:color="auto" w:fill="FFFFFF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jc w:val="both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本机关依据《中华人民共和国行政强制法》第五十四条的规定，现催告你单位履行上述行政处罚决定。请你单位在收到本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  <w:lang w:eastAsia="zh-CN"/>
        </w:rPr>
        <w:t>催告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书之日起10日内缴纳罚款。你单位可以在收到本催告书之日起五个工作日内到天津市滨海新区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  <w:lang w:eastAsia="zh-CN"/>
        </w:rPr>
        <w:t>住房和建</w:t>
      </w:r>
      <w:bookmarkStart w:id="0" w:name="_GoBack"/>
      <w:bookmarkEnd w:id="0"/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  <w:lang w:eastAsia="zh-CN"/>
        </w:rPr>
        <w:t>设委员会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（地址：天津市滨海新区大连东道1060号）进行陈述、申辩。无正当理由逾期仍不履行行政处罚决定的，本机关将依法申请人民法院强制执行。</w:t>
      </w:r>
    </w:p>
    <w:p w14:paraId="676B136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/>
        <w:jc w:val="right"/>
        <w:textAlignment w:val="auto"/>
        <w:rPr>
          <w:rFonts w:hint="eastAsia" w:ascii="仿宋_GB2312" w:hAnsi="Calibri" w:eastAsia="仿宋_GB2312"/>
          <w:sz w:val="32"/>
          <w:szCs w:val="32"/>
          <w:shd w:val="clear" w:color="auto" w:fill="FFFFFF"/>
        </w:rPr>
      </w:pPr>
    </w:p>
    <w:p w14:paraId="08E43AE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/>
        <w:jc w:val="right"/>
        <w:textAlignment w:val="auto"/>
        <w:rPr>
          <w:rFonts w:hint="eastAsia" w:ascii="仿宋_GB2312" w:hAnsi="Calibri" w:eastAsia="仿宋_GB2312"/>
          <w:sz w:val="32"/>
          <w:szCs w:val="32"/>
          <w:shd w:val="clear" w:color="auto" w:fill="FFFFFF"/>
        </w:rPr>
      </w:pPr>
    </w:p>
    <w:p w14:paraId="2D1D8DD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/>
        <w:jc w:val="center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sz w:val="32"/>
          <w:szCs w:val="32"/>
          <w:shd w:val="clear" w:color="auto" w:fill="FFFFFF"/>
          <w:lang w:val="en-US" w:eastAsia="zh-CN"/>
        </w:rPr>
        <w:t xml:space="preserve">                                    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（盖章）</w:t>
      </w:r>
    </w:p>
    <w:p w14:paraId="3E8A60E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jc w:val="right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日</w:t>
      </w:r>
    </w:p>
    <w:p w14:paraId="00875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QzYWI5MWVlZjkzOWE1NTg2ZDUyYWNhMTcxMzhjMTgifQ=="/>
  </w:docVars>
  <w:rsids>
    <w:rsidRoot w:val="007F38BF"/>
    <w:rsid w:val="0001108C"/>
    <w:rsid w:val="00226A1A"/>
    <w:rsid w:val="0037093E"/>
    <w:rsid w:val="003A7B4A"/>
    <w:rsid w:val="004A5BCE"/>
    <w:rsid w:val="00701311"/>
    <w:rsid w:val="00783D6D"/>
    <w:rsid w:val="007F38BF"/>
    <w:rsid w:val="00A71D45"/>
    <w:rsid w:val="00AF14B7"/>
    <w:rsid w:val="00B96792"/>
    <w:rsid w:val="00D40061"/>
    <w:rsid w:val="00F03369"/>
    <w:rsid w:val="00FF6D42"/>
    <w:rsid w:val="01316763"/>
    <w:rsid w:val="02115A42"/>
    <w:rsid w:val="08584782"/>
    <w:rsid w:val="13D46AF2"/>
    <w:rsid w:val="211A0454"/>
    <w:rsid w:val="2939710B"/>
    <w:rsid w:val="2DB7517E"/>
    <w:rsid w:val="2EAC5DF2"/>
    <w:rsid w:val="2FA85735"/>
    <w:rsid w:val="33340485"/>
    <w:rsid w:val="3A0C117B"/>
    <w:rsid w:val="3B035F88"/>
    <w:rsid w:val="42DC4800"/>
    <w:rsid w:val="434E7EB7"/>
    <w:rsid w:val="474B3F20"/>
    <w:rsid w:val="4E041831"/>
    <w:rsid w:val="52292EB2"/>
    <w:rsid w:val="52854FEC"/>
    <w:rsid w:val="54DF4B89"/>
    <w:rsid w:val="5B6A3B3E"/>
    <w:rsid w:val="5C3E28EB"/>
    <w:rsid w:val="62DA1DBE"/>
    <w:rsid w:val="632173C1"/>
    <w:rsid w:val="695D4E5B"/>
    <w:rsid w:val="6BE91A9D"/>
    <w:rsid w:val="70770B8F"/>
    <w:rsid w:val="74D67EEF"/>
    <w:rsid w:val="74E52B9F"/>
    <w:rsid w:val="7B2900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674</Words>
  <Characters>732</Characters>
  <Lines>5</Lines>
  <Paragraphs>1</Paragraphs>
  <TotalTime>0</TotalTime>
  <ScaleCrop>false</ScaleCrop>
  <LinksUpToDate>false</LinksUpToDate>
  <CharactersWithSpaces>804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2023-09-21T02:11:00Z</dcterms:created>
  <dc:creator>lenovo</dc:creator>
  <cp:lastModifiedBy>light</cp:lastModifiedBy>
  <dcterms:modified xsi:type="dcterms:W3CDTF">2025-07-07T06:15:41Z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FEE8DB7300D246B78B3E99645066FCDD_12</vt:lpwstr>
  </property>
  <property fmtid="{D5CDD505-2E9C-101B-9397-08002B2CF9AE}" pid="4" name="KSOTemplateDocerSaveRecord">
    <vt:lpwstr>eyJoZGlkIjoiZmVjODQ4NTc5MjFmN2Y2OGQ3ZTE2ZmU1YzJmYzc0OTQiLCJ1c2VySWQiOiI0MzE2NzMyNDgifQ==</vt:lpwstr>
  </property>
</Properties>
</file>