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258" w:lineRule="atLeast"/>
        <w:ind w:firstLine="64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141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905"/>
        <w:gridCol w:w="2503"/>
        <w:gridCol w:w="2477"/>
        <w:gridCol w:w="3567"/>
        <w:gridCol w:w="2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09" w:hRule="atLeast"/>
        </w:trPr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2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建筑面积（万平方米）</w:t>
            </w:r>
          </w:p>
        </w:tc>
        <w:tc>
          <w:tcPr>
            <w:tcW w:w="2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标识星级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color w:val="4C5157"/>
              </w:rPr>
              <w:t>工业</w:t>
            </w:r>
            <w:r>
              <w:rPr>
                <w:rFonts w:ascii="Times New Roman" w:hAnsi="Times New Roman" w:eastAsia="宋体"/>
                <w:color w:val="4C5157"/>
              </w:rPr>
              <w:t>建筑</w:t>
            </w:r>
          </w:p>
        </w:tc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天津生态城智慧科技产业园起步区建设项目(一期)</w:t>
            </w:r>
          </w:p>
        </w:tc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天津生态城智慧产城建设发展有限公司</w:t>
            </w:r>
            <w:r>
              <w:rPr>
                <w:rFonts w:ascii="Times New Roman" w:hAnsi="Times New Roman" w:eastAsia="宋体"/>
              </w:rPr>
              <w:t>、</w:t>
            </w:r>
            <w:r>
              <w:rPr>
                <w:rFonts w:hint="eastAsia" w:ascii="Times New Roman" w:hAnsi="Times New Roman" w:eastAsia="宋体"/>
              </w:rPr>
              <w:t>天津生态城绿色建筑研究院有限公司</w:t>
            </w:r>
          </w:p>
        </w:tc>
        <w:tc>
          <w:tcPr>
            <w:tcW w:w="2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天津市</w:t>
            </w:r>
            <w:r>
              <w:rPr>
                <w:rFonts w:hint="eastAsia" w:ascii="Times New Roman" w:hAnsi="Times New Roman" w:eastAsia="宋体"/>
              </w:rPr>
              <w:t>滨海新</w:t>
            </w:r>
            <w:r>
              <w:rPr>
                <w:rFonts w:ascii="Times New Roman" w:hAnsi="Times New Roman" w:eastAsia="宋体"/>
              </w:rPr>
              <w:t>区</w:t>
            </w: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10.64</w:t>
            </w:r>
          </w:p>
        </w:tc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4C5157"/>
              </w:rPr>
              <w:t>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建筑运行碳排放强度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10.32kgCO</w:t>
            </w:r>
            <w:r>
              <w:rPr>
                <w:rFonts w:ascii="Times New Roman" w:hAnsi="Times New Roman" w:eastAsia="宋体"/>
                <w:kern w:val="2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kern w:val="2"/>
              </w:rPr>
              <w:t>/（m</w:t>
            </w:r>
            <w:r>
              <w:rPr>
                <w:rFonts w:ascii="Times New Roman" w:hAnsi="Times New Roman" w:eastAsia="宋体"/>
                <w:kern w:val="2"/>
                <w:vertAlign w:val="superscript"/>
              </w:rPr>
              <w:t>2</w:t>
            </w:r>
            <w:r>
              <w:rPr>
                <w:rFonts w:ascii="Times New Roman" w:hAnsi="Times New Roman" w:eastAsia="宋体"/>
                <w:kern w:val="2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围护结构热工性能</w:t>
            </w:r>
            <w:r>
              <w:rPr>
                <w:rFonts w:hint="eastAsia" w:ascii="Times New Roman" w:hAnsi="Times New Roman" w:eastAsia="宋体"/>
                <w:kern w:val="2"/>
              </w:rPr>
              <w:t>（或建筑供暖空调负荷）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围护结构热工性能提高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/ %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；建筑供暖空调负荷降低 /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严寒和寒冷地区住宅建筑外窗传热系数降低比例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节水器具用水效率等级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全部达到3级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住宅建筑</w:t>
            </w:r>
            <w:r>
              <w:rPr>
                <w:rFonts w:ascii="Times New Roman" w:hAnsi="Times New Roman" w:eastAsia="宋体"/>
                <w:kern w:val="2"/>
              </w:rPr>
              <w:t>隔声性能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室内主要空气污染物浓度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比国家标准GB/T18883限值降低62.5%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绿地率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.00</w:t>
            </w: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年径流总量控制率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80.00%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可再生能源利用率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非传统水源利用率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9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绿色建材应用比例</w:t>
            </w:r>
          </w:p>
        </w:tc>
        <w:tc>
          <w:tcPr>
            <w:tcW w:w="82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/</w:t>
            </w:r>
          </w:p>
        </w:tc>
      </w:tr>
    </w:tbl>
    <w:p>
      <w:pPr>
        <w:tabs>
          <w:tab w:val="left" w:pos="1482"/>
        </w:tabs>
        <w:spacing w:line="20" w:lineRule="exact"/>
        <w:jc w:val="left"/>
      </w:pP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A0MjdkZWUxNGJlNDY1NzY1YTMyYWY3MDRjMmYifQ=="/>
  </w:docVars>
  <w:rsids>
    <w:rsidRoot w:val="3FEF52EF"/>
    <w:rsid w:val="0027433E"/>
    <w:rsid w:val="00CF066B"/>
    <w:rsid w:val="016F5A4D"/>
    <w:rsid w:val="184C2ED6"/>
    <w:rsid w:val="1E9B4BC9"/>
    <w:rsid w:val="21507868"/>
    <w:rsid w:val="3AFF2E08"/>
    <w:rsid w:val="3FEF52EF"/>
    <w:rsid w:val="3FEFF0A2"/>
    <w:rsid w:val="416A2A81"/>
    <w:rsid w:val="49FF1DE3"/>
    <w:rsid w:val="5EE4789F"/>
    <w:rsid w:val="5F6F5B6A"/>
    <w:rsid w:val="6F732B3A"/>
    <w:rsid w:val="7ABC5E3B"/>
    <w:rsid w:val="7E640871"/>
    <w:rsid w:val="7E778016"/>
    <w:rsid w:val="7F37A1E6"/>
    <w:rsid w:val="7FDF5EC3"/>
    <w:rsid w:val="7FFE9CFA"/>
    <w:rsid w:val="9FBD81CE"/>
    <w:rsid w:val="C456F108"/>
    <w:rsid w:val="EAFAB0F1"/>
    <w:rsid w:val="EFF7C6A7"/>
    <w:rsid w:val="F23FB1DB"/>
    <w:rsid w:val="F7BD4F14"/>
    <w:rsid w:val="FB73549E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30</TotalTime>
  <ScaleCrop>false</ScaleCrop>
  <LinksUpToDate>false</LinksUpToDate>
  <CharactersWithSpaces>486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2022-07-23T08:04:00Z</dcterms:created>
  <dc:creator>天天天蓝</dc:creator>
  <cp:lastModifiedBy>kylin</cp:lastModifiedBy>
  <cp:lastPrinted>2022-11-18T07:07:00Z</cp:lastPrinted>
  <dcterms:modified xsi:type="dcterms:W3CDTF">2025-09-08T11:30:42Z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AD0AD21AEE7F4B2DB3EF715E26BE8381</vt:lpwstr>
  </property>
</Properties>
</file>